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85" w:rsidRDefault="006E606C" w:rsidP="006B231F">
      <w:pPr>
        <w:jc w:val="center"/>
        <w:rPr>
          <w:b/>
        </w:rPr>
      </w:pPr>
      <w:r>
        <w:rPr>
          <w:noProof/>
          <w:lang w:eastAsia="ru-RU"/>
        </w:rPr>
        <w:drawing>
          <wp:inline distT="0" distB="0" distL="0" distR="0">
            <wp:extent cx="2458555" cy="1209675"/>
            <wp:effectExtent l="19050" t="0" r="0" b="0"/>
            <wp:docPr id="10" name="Рисунок 10" descr="http://www.thecsuite.co.uk/CFO/images/co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ecsuite.co.uk/CFO/images/coface.jpg"/>
                    <pic:cNvPicPr>
                      <a:picLocks noChangeAspect="1" noChangeArrowheads="1"/>
                    </pic:cNvPicPr>
                  </pic:nvPicPr>
                  <pic:blipFill>
                    <a:blip r:embed="rId9"/>
                    <a:srcRect/>
                    <a:stretch>
                      <a:fillRect/>
                    </a:stretch>
                  </pic:blipFill>
                  <pic:spPr bwMode="auto">
                    <a:xfrm>
                      <a:off x="0" y="0"/>
                      <a:ext cx="2474403" cy="1217473"/>
                    </a:xfrm>
                    <a:prstGeom prst="rect">
                      <a:avLst/>
                    </a:prstGeom>
                    <a:noFill/>
                    <a:ln w="9525">
                      <a:noFill/>
                      <a:miter lim="800000"/>
                      <a:headEnd/>
                      <a:tailEnd/>
                    </a:ln>
                  </pic:spPr>
                </pic:pic>
              </a:graphicData>
            </a:graphic>
          </wp:inline>
        </w:drawing>
      </w:r>
    </w:p>
    <w:p w:rsidR="00463E85" w:rsidRPr="00463E85" w:rsidRDefault="00463E85" w:rsidP="006B231F">
      <w:pPr>
        <w:jc w:val="center"/>
        <w:rPr>
          <w:rFonts w:ascii="Arial" w:hAnsi="Arial" w:cs="Arial"/>
          <w:b/>
          <w:sz w:val="20"/>
          <w:szCs w:val="20"/>
        </w:rPr>
      </w:pPr>
      <w:r w:rsidRPr="00463E85">
        <w:rPr>
          <w:rFonts w:ascii="Arial" w:hAnsi="Arial" w:cs="Arial"/>
          <w:b/>
          <w:sz w:val="20"/>
          <w:szCs w:val="20"/>
        </w:rPr>
        <w:t>Пресс-релиз</w:t>
      </w:r>
    </w:p>
    <w:p w:rsidR="00463E85" w:rsidRPr="006B231F" w:rsidRDefault="00463E85" w:rsidP="006B231F">
      <w:pPr>
        <w:jc w:val="both"/>
        <w:rPr>
          <w:rFonts w:ascii="Arial" w:hAnsi="Arial" w:cs="Arial"/>
          <w:b/>
          <w:sz w:val="10"/>
          <w:szCs w:val="10"/>
        </w:rPr>
      </w:pPr>
    </w:p>
    <w:p w:rsidR="00840459" w:rsidRPr="00463E85" w:rsidRDefault="0070429E" w:rsidP="006B231F">
      <w:pPr>
        <w:jc w:val="right"/>
        <w:rPr>
          <w:rFonts w:ascii="Arial" w:hAnsi="Arial" w:cs="Arial"/>
          <w:sz w:val="20"/>
          <w:szCs w:val="20"/>
        </w:rPr>
      </w:pPr>
      <w:bookmarkStart w:id="0" w:name="_GoBack"/>
      <w:bookmarkEnd w:id="0"/>
      <w:r>
        <w:rPr>
          <w:rFonts w:ascii="Arial" w:hAnsi="Arial" w:cs="Arial"/>
          <w:sz w:val="20"/>
          <w:szCs w:val="20"/>
        </w:rPr>
        <w:t>6</w:t>
      </w:r>
      <w:r w:rsidR="007C188F" w:rsidRPr="00463E85">
        <w:rPr>
          <w:rFonts w:ascii="Arial" w:hAnsi="Arial" w:cs="Arial"/>
          <w:sz w:val="20"/>
          <w:szCs w:val="20"/>
        </w:rPr>
        <w:t xml:space="preserve"> ию</w:t>
      </w:r>
      <w:r>
        <w:rPr>
          <w:rFonts w:ascii="Arial" w:hAnsi="Arial" w:cs="Arial"/>
          <w:sz w:val="20"/>
          <w:szCs w:val="20"/>
        </w:rPr>
        <w:t>л</w:t>
      </w:r>
      <w:r w:rsidR="007C188F" w:rsidRPr="00463E85">
        <w:rPr>
          <w:rFonts w:ascii="Arial" w:hAnsi="Arial" w:cs="Arial"/>
          <w:sz w:val="20"/>
          <w:szCs w:val="20"/>
        </w:rPr>
        <w:t>я 2016 года</w:t>
      </w:r>
    </w:p>
    <w:p w:rsidR="002943C8" w:rsidRPr="00CB7E96" w:rsidRDefault="00FF5340" w:rsidP="006B231F">
      <w:pPr>
        <w:jc w:val="both"/>
        <w:rPr>
          <w:rFonts w:ascii="Arial" w:hAnsi="Arial" w:cs="Arial"/>
          <w:b/>
          <w:szCs w:val="24"/>
        </w:rPr>
      </w:pPr>
      <w:r>
        <w:rPr>
          <w:rFonts w:ascii="Arial" w:hAnsi="Arial" w:cs="Arial"/>
          <w:b/>
          <w:szCs w:val="24"/>
        </w:rPr>
        <w:t>Р</w:t>
      </w:r>
      <w:r w:rsidR="00CB7E96" w:rsidRPr="00CB7E96">
        <w:rPr>
          <w:rFonts w:ascii="Arial" w:hAnsi="Arial" w:cs="Arial"/>
          <w:b/>
          <w:szCs w:val="24"/>
        </w:rPr>
        <w:t xml:space="preserve">иск </w:t>
      </w:r>
      <w:r>
        <w:rPr>
          <w:rFonts w:ascii="Arial" w:hAnsi="Arial" w:cs="Arial"/>
          <w:b/>
          <w:szCs w:val="24"/>
        </w:rPr>
        <w:t xml:space="preserve">корпоративных дефолтов </w:t>
      </w:r>
      <w:r w:rsidR="00CB7E96" w:rsidRPr="00CB7E96">
        <w:rPr>
          <w:rFonts w:ascii="Arial" w:hAnsi="Arial" w:cs="Arial"/>
          <w:b/>
          <w:szCs w:val="24"/>
        </w:rPr>
        <w:t>в мире достиг максимальных значений</w:t>
      </w:r>
    </w:p>
    <w:p w:rsidR="002943C8" w:rsidRPr="006B231F" w:rsidRDefault="002943C8" w:rsidP="006B231F">
      <w:pPr>
        <w:jc w:val="both"/>
        <w:rPr>
          <w:rFonts w:ascii="Arial" w:hAnsi="Arial" w:cs="Arial"/>
          <w:sz w:val="10"/>
          <w:szCs w:val="10"/>
        </w:rPr>
      </w:pPr>
    </w:p>
    <w:p w:rsidR="00A5702C" w:rsidRPr="00163EAE" w:rsidRDefault="000511C4" w:rsidP="006B231F">
      <w:pPr>
        <w:pStyle w:val="af"/>
        <w:numPr>
          <w:ilvl w:val="0"/>
          <w:numId w:val="1"/>
        </w:numPr>
        <w:jc w:val="both"/>
        <w:rPr>
          <w:rFonts w:ascii="Arial" w:hAnsi="Arial" w:cs="Arial"/>
          <w:b/>
          <w:sz w:val="20"/>
          <w:szCs w:val="20"/>
        </w:rPr>
      </w:pPr>
      <w:r w:rsidRPr="00163EAE">
        <w:rPr>
          <w:rFonts w:ascii="Arial" w:hAnsi="Arial" w:cs="Arial"/>
          <w:b/>
          <w:sz w:val="20"/>
          <w:szCs w:val="20"/>
        </w:rPr>
        <w:t xml:space="preserve">Прогноз по росту </w:t>
      </w:r>
      <w:r w:rsidR="00FF5340">
        <w:rPr>
          <w:rFonts w:ascii="Arial" w:hAnsi="Arial" w:cs="Arial"/>
          <w:b/>
          <w:sz w:val="20"/>
          <w:szCs w:val="20"/>
        </w:rPr>
        <w:t xml:space="preserve">мирового </w:t>
      </w:r>
      <w:r w:rsidRPr="00163EAE">
        <w:rPr>
          <w:rFonts w:ascii="Arial" w:hAnsi="Arial" w:cs="Arial"/>
          <w:b/>
          <w:sz w:val="20"/>
          <w:szCs w:val="20"/>
        </w:rPr>
        <w:t xml:space="preserve">ВВП в 2016 году снижен на 0,2 </w:t>
      </w:r>
      <w:proofErr w:type="spellStart"/>
      <w:r w:rsidRPr="00163EAE">
        <w:rPr>
          <w:rFonts w:ascii="Arial" w:hAnsi="Arial" w:cs="Arial"/>
          <w:b/>
          <w:sz w:val="20"/>
          <w:szCs w:val="20"/>
        </w:rPr>
        <w:t>п.п</w:t>
      </w:r>
      <w:proofErr w:type="spellEnd"/>
      <w:r w:rsidRPr="00163EAE">
        <w:rPr>
          <w:rFonts w:ascii="Arial" w:hAnsi="Arial" w:cs="Arial"/>
          <w:b/>
          <w:sz w:val="20"/>
          <w:szCs w:val="20"/>
        </w:rPr>
        <w:t>. до 2,5%</w:t>
      </w:r>
      <w:r w:rsidR="00FF5340">
        <w:rPr>
          <w:rFonts w:ascii="Arial" w:hAnsi="Arial" w:cs="Arial"/>
          <w:b/>
          <w:sz w:val="20"/>
          <w:szCs w:val="20"/>
        </w:rPr>
        <w:t>.</w:t>
      </w:r>
    </w:p>
    <w:p w:rsidR="000511C4" w:rsidRPr="00163EAE" w:rsidRDefault="000511C4" w:rsidP="006B231F">
      <w:pPr>
        <w:pStyle w:val="af"/>
        <w:numPr>
          <w:ilvl w:val="0"/>
          <w:numId w:val="1"/>
        </w:numPr>
        <w:jc w:val="both"/>
        <w:rPr>
          <w:rFonts w:ascii="Arial" w:hAnsi="Arial" w:cs="Arial"/>
          <w:b/>
          <w:sz w:val="20"/>
          <w:szCs w:val="20"/>
        </w:rPr>
      </w:pPr>
      <w:r w:rsidRPr="00163EAE">
        <w:rPr>
          <w:rFonts w:ascii="Arial" w:hAnsi="Arial" w:cs="Arial"/>
          <w:b/>
          <w:sz w:val="20"/>
          <w:szCs w:val="20"/>
        </w:rPr>
        <w:t xml:space="preserve">Средний уровень риска </w:t>
      </w:r>
      <w:r w:rsidR="00FF5340">
        <w:rPr>
          <w:rFonts w:ascii="Arial" w:hAnsi="Arial" w:cs="Arial"/>
          <w:b/>
          <w:sz w:val="20"/>
          <w:szCs w:val="20"/>
        </w:rPr>
        <w:t xml:space="preserve">по странам мира </w:t>
      </w:r>
      <w:r w:rsidRPr="00163EAE">
        <w:rPr>
          <w:rFonts w:ascii="Arial" w:hAnsi="Arial" w:cs="Arial"/>
          <w:b/>
          <w:sz w:val="20"/>
          <w:szCs w:val="20"/>
        </w:rPr>
        <w:t>соответствует оценке «В» - «значительный риск»</w:t>
      </w:r>
      <w:r w:rsidR="00FF5340">
        <w:rPr>
          <w:rFonts w:ascii="Arial" w:hAnsi="Arial" w:cs="Arial"/>
          <w:b/>
          <w:sz w:val="20"/>
          <w:szCs w:val="20"/>
        </w:rPr>
        <w:t>.</w:t>
      </w:r>
    </w:p>
    <w:p w:rsidR="000511C4" w:rsidRPr="00163EAE" w:rsidRDefault="00FF5340" w:rsidP="006B231F">
      <w:pPr>
        <w:pStyle w:val="af"/>
        <w:numPr>
          <w:ilvl w:val="0"/>
          <w:numId w:val="1"/>
        </w:numPr>
        <w:jc w:val="both"/>
        <w:rPr>
          <w:rFonts w:ascii="Arial" w:hAnsi="Arial" w:cs="Arial"/>
          <w:b/>
          <w:sz w:val="20"/>
          <w:szCs w:val="20"/>
        </w:rPr>
      </w:pPr>
      <w:r>
        <w:rPr>
          <w:rFonts w:ascii="Arial" w:hAnsi="Arial" w:cs="Arial"/>
          <w:b/>
          <w:sz w:val="20"/>
          <w:szCs w:val="20"/>
        </w:rPr>
        <w:t>Все большее</w:t>
      </w:r>
      <w:r w:rsidR="000511C4" w:rsidRPr="00163EAE">
        <w:rPr>
          <w:rFonts w:ascii="Arial" w:hAnsi="Arial" w:cs="Arial"/>
          <w:b/>
          <w:sz w:val="20"/>
          <w:szCs w:val="20"/>
        </w:rPr>
        <w:t xml:space="preserve"> число стран с переходной экономикой </w:t>
      </w:r>
      <w:r>
        <w:rPr>
          <w:rFonts w:ascii="Arial" w:hAnsi="Arial" w:cs="Arial"/>
          <w:b/>
          <w:sz w:val="20"/>
          <w:szCs w:val="20"/>
        </w:rPr>
        <w:t>попадает</w:t>
      </w:r>
      <w:r w:rsidR="000511C4" w:rsidRPr="00163EAE">
        <w:rPr>
          <w:rFonts w:ascii="Arial" w:hAnsi="Arial" w:cs="Arial"/>
          <w:b/>
          <w:sz w:val="20"/>
          <w:szCs w:val="20"/>
        </w:rPr>
        <w:t xml:space="preserve"> в категорию с «крайне высоким» и «очень высоким» уровнем риска</w:t>
      </w:r>
      <w:r>
        <w:rPr>
          <w:rFonts w:ascii="Arial" w:hAnsi="Arial" w:cs="Arial"/>
          <w:b/>
          <w:sz w:val="20"/>
          <w:szCs w:val="20"/>
        </w:rPr>
        <w:t>.</w:t>
      </w:r>
    </w:p>
    <w:p w:rsidR="000511C4" w:rsidRPr="00163EAE" w:rsidRDefault="000511C4" w:rsidP="006B231F">
      <w:pPr>
        <w:pStyle w:val="af"/>
        <w:numPr>
          <w:ilvl w:val="0"/>
          <w:numId w:val="1"/>
        </w:numPr>
        <w:jc w:val="both"/>
        <w:rPr>
          <w:rFonts w:ascii="Arial" w:hAnsi="Arial" w:cs="Arial"/>
          <w:b/>
          <w:sz w:val="20"/>
          <w:szCs w:val="20"/>
        </w:rPr>
      </w:pPr>
      <w:r w:rsidRPr="00163EAE">
        <w:rPr>
          <w:rFonts w:ascii="Arial" w:hAnsi="Arial" w:cs="Arial"/>
          <w:b/>
          <w:sz w:val="20"/>
          <w:szCs w:val="20"/>
        </w:rPr>
        <w:t>Три ведущие экономики мира становятся неустойчивыми</w:t>
      </w:r>
      <w:r w:rsidR="00FF5340">
        <w:rPr>
          <w:rFonts w:ascii="Arial" w:hAnsi="Arial" w:cs="Arial"/>
          <w:b/>
          <w:sz w:val="20"/>
          <w:szCs w:val="20"/>
        </w:rPr>
        <w:t>.</w:t>
      </w:r>
    </w:p>
    <w:p w:rsidR="000511C4" w:rsidRPr="00163EAE" w:rsidRDefault="00163EAE" w:rsidP="006B231F">
      <w:pPr>
        <w:pStyle w:val="af"/>
        <w:numPr>
          <w:ilvl w:val="0"/>
          <w:numId w:val="1"/>
        </w:numPr>
        <w:jc w:val="both"/>
        <w:rPr>
          <w:rFonts w:ascii="Arial" w:hAnsi="Arial" w:cs="Arial"/>
          <w:b/>
          <w:sz w:val="20"/>
          <w:szCs w:val="20"/>
        </w:rPr>
      </w:pPr>
      <w:r w:rsidRPr="00163EAE">
        <w:rPr>
          <w:rFonts w:ascii="Arial" w:hAnsi="Arial" w:cs="Arial"/>
          <w:b/>
          <w:sz w:val="20"/>
          <w:szCs w:val="20"/>
        </w:rPr>
        <w:t>Китай негативно влияет на экономическую активность в нескольких странах Азии</w:t>
      </w:r>
      <w:r w:rsidR="00FF5340">
        <w:rPr>
          <w:rFonts w:ascii="Arial" w:hAnsi="Arial" w:cs="Arial"/>
          <w:b/>
          <w:sz w:val="20"/>
          <w:szCs w:val="20"/>
        </w:rPr>
        <w:t>.</w:t>
      </w:r>
    </w:p>
    <w:p w:rsidR="00D61BC0" w:rsidRPr="00163EAE" w:rsidRDefault="00163EAE" w:rsidP="006B231F">
      <w:pPr>
        <w:pStyle w:val="af"/>
        <w:numPr>
          <w:ilvl w:val="0"/>
          <w:numId w:val="1"/>
        </w:numPr>
        <w:jc w:val="both"/>
        <w:rPr>
          <w:rFonts w:ascii="Arial" w:hAnsi="Arial" w:cs="Arial"/>
          <w:b/>
          <w:sz w:val="20"/>
          <w:szCs w:val="20"/>
        </w:rPr>
      </w:pPr>
      <w:r w:rsidRPr="00163EAE">
        <w:rPr>
          <w:rFonts w:ascii="Arial" w:hAnsi="Arial" w:cs="Arial"/>
          <w:b/>
          <w:sz w:val="20"/>
          <w:szCs w:val="20"/>
        </w:rPr>
        <w:t>В Европе отмечается позитивная динамика, но необходимо внимательно следить за политическими рисками, возникшими из-за выхода Великобритании из ЕС (</w:t>
      </w:r>
      <w:proofErr w:type="spellStart"/>
      <w:r w:rsidRPr="00163EAE">
        <w:rPr>
          <w:rFonts w:ascii="Arial" w:hAnsi="Arial" w:cs="Arial"/>
          <w:b/>
          <w:sz w:val="20"/>
          <w:szCs w:val="20"/>
          <w:lang w:val="en-US"/>
        </w:rPr>
        <w:t>Brexit</w:t>
      </w:r>
      <w:proofErr w:type="spellEnd"/>
      <w:r w:rsidRPr="00163EAE">
        <w:rPr>
          <w:rFonts w:ascii="Arial" w:hAnsi="Arial" w:cs="Arial"/>
          <w:b/>
          <w:sz w:val="20"/>
          <w:szCs w:val="20"/>
        </w:rPr>
        <w:t>)</w:t>
      </w:r>
      <w:r w:rsidR="006B231F">
        <w:rPr>
          <w:rFonts w:ascii="Arial" w:hAnsi="Arial" w:cs="Arial"/>
          <w:b/>
          <w:sz w:val="20"/>
          <w:szCs w:val="20"/>
        </w:rPr>
        <w:t>.</w:t>
      </w:r>
    </w:p>
    <w:p w:rsidR="00D61BC0" w:rsidRPr="00D61BC0" w:rsidRDefault="00D61BC0" w:rsidP="006B231F">
      <w:pPr>
        <w:jc w:val="both"/>
        <w:rPr>
          <w:rFonts w:ascii="Arial" w:hAnsi="Arial" w:cs="Arial"/>
          <w:sz w:val="20"/>
          <w:szCs w:val="20"/>
        </w:rPr>
      </w:pPr>
    </w:p>
    <w:p w:rsidR="00D61BC0" w:rsidRPr="00B97D63" w:rsidRDefault="000D2CA6" w:rsidP="006B231F">
      <w:pPr>
        <w:jc w:val="both"/>
        <w:rPr>
          <w:rFonts w:ascii="Arial" w:hAnsi="Arial" w:cs="Arial"/>
          <w:b/>
          <w:sz w:val="20"/>
          <w:szCs w:val="20"/>
        </w:rPr>
      </w:pPr>
      <w:r w:rsidRPr="00B97D63">
        <w:rPr>
          <w:rFonts w:ascii="Arial" w:hAnsi="Arial" w:cs="Arial"/>
          <w:b/>
          <w:sz w:val="20"/>
          <w:szCs w:val="20"/>
        </w:rPr>
        <w:t>Мировая экономика может попасть в «ловушку медленного роста»</w:t>
      </w:r>
    </w:p>
    <w:p w:rsidR="006E606C" w:rsidRPr="006B231F" w:rsidRDefault="006E606C" w:rsidP="006B231F">
      <w:pPr>
        <w:jc w:val="both"/>
        <w:rPr>
          <w:rFonts w:ascii="Arial" w:eastAsia="Calibri" w:hAnsi="Arial" w:cs="Arial"/>
          <w:b/>
          <w:bCs/>
          <w:sz w:val="6"/>
          <w:szCs w:val="6"/>
        </w:rPr>
      </w:pPr>
    </w:p>
    <w:p w:rsidR="000D2CA6" w:rsidRDefault="000D2CA6" w:rsidP="006B231F">
      <w:pPr>
        <w:jc w:val="both"/>
        <w:rPr>
          <w:rFonts w:ascii="Arial" w:hAnsi="Arial" w:cs="Arial"/>
          <w:sz w:val="20"/>
          <w:szCs w:val="20"/>
        </w:rPr>
      </w:pPr>
      <w:r>
        <w:rPr>
          <w:rFonts w:ascii="Arial" w:hAnsi="Arial" w:cs="Arial"/>
          <w:sz w:val="20"/>
          <w:szCs w:val="20"/>
        </w:rPr>
        <w:t xml:space="preserve">По оценке </w:t>
      </w:r>
      <w:proofErr w:type="spellStart"/>
      <w:r>
        <w:rPr>
          <w:rFonts w:ascii="Arial" w:hAnsi="Arial" w:cs="Arial"/>
          <w:sz w:val="20"/>
          <w:szCs w:val="20"/>
          <w:lang w:val="en-US"/>
        </w:rPr>
        <w:t>Coface</w:t>
      </w:r>
      <w:proofErr w:type="spellEnd"/>
      <w:r>
        <w:rPr>
          <w:rFonts w:ascii="Arial" w:hAnsi="Arial" w:cs="Arial"/>
          <w:sz w:val="20"/>
          <w:szCs w:val="20"/>
        </w:rPr>
        <w:t>,</w:t>
      </w:r>
      <w:r w:rsidR="00C9787E">
        <w:rPr>
          <w:rFonts w:ascii="Arial" w:hAnsi="Arial" w:cs="Arial"/>
          <w:sz w:val="20"/>
          <w:szCs w:val="20"/>
        </w:rPr>
        <w:t xml:space="preserve"> перспективы мировой экономики несколько ухудшились за последние </w:t>
      </w:r>
      <w:r w:rsidR="00FF5340">
        <w:rPr>
          <w:rFonts w:ascii="Arial" w:hAnsi="Arial" w:cs="Arial"/>
          <w:sz w:val="20"/>
          <w:szCs w:val="20"/>
        </w:rPr>
        <w:t xml:space="preserve">три </w:t>
      </w:r>
      <w:r w:rsidR="00C9787E">
        <w:rPr>
          <w:rFonts w:ascii="Arial" w:hAnsi="Arial" w:cs="Arial"/>
          <w:sz w:val="20"/>
          <w:szCs w:val="20"/>
        </w:rPr>
        <w:t>месяц</w:t>
      </w:r>
      <w:r w:rsidR="00FF5340">
        <w:rPr>
          <w:rFonts w:ascii="Arial" w:hAnsi="Arial" w:cs="Arial"/>
          <w:sz w:val="20"/>
          <w:szCs w:val="20"/>
        </w:rPr>
        <w:t>а</w:t>
      </w:r>
      <w:r w:rsidR="00C9787E">
        <w:rPr>
          <w:rFonts w:ascii="Arial" w:hAnsi="Arial" w:cs="Arial"/>
          <w:sz w:val="20"/>
          <w:szCs w:val="20"/>
        </w:rPr>
        <w:t xml:space="preserve">, и, вероятно, </w:t>
      </w:r>
      <w:r w:rsidR="00FF5340">
        <w:rPr>
          <w:rFonts w:ascii="Arial" w:hAnsi="Arial" w:cs="Arial"/>
          <w:sz w:val="20"/>
          <w:szCs w:val="20"/>
        </w:rPr>
        <w:t xml:space="preserve">в 2016 году </w:t>
      </w:r>
      <w:r w:rsidR="00C9787E">
        <w:rPr>
          <w:rFonts w:ascii="Arial" w:hAnsi="Arial" w:cs="Arial"/>
          <w:sz w:val="20"/>
          <w:szCs w:val="20"/>
        </w:rPr>
        <w:t>темпы роста</w:t>
      </w:r>
      <w:r w:rsidR="00FF5340">
        <w:rPr>
          <w:rFonts w:ascii="Arial" w:hAnsi="Arial" w:cs="Arial"/>
          <w:sz w:val="20"/>
          <w:szCs w:val="20"/>
        </w:rPr>
        <w:t xml:space="preserve"> уже шестой год подряд</w:t>
      </w:r>
      <w:r w:rsidR="00C9787E">
        <w:rPr>
          <w:rFonts w:ascii="Arial" w:hAnsi="Arial" w:cs="Arial"/>
          <w:sz w:val="20"/>
          <w:szCs w:val="20"/>
        </w:rPr>
        <w:t xml:space="preserve"> не превысят 3%. </w:t>
      </w:r>
      <w:r w:rsidR="004C4372">
        <w:rPr>
          <w:rFonts w:ascii="Arial" w:hAnsi="Arial" w:cs="Arial"/>
          <w:sz w:val="20"/>
          <w:szCs w:val="20"/>
        </w:rPr>
        <w:t xml:space="preserve">Слабые темпы экономического роста ограничивают для компаний возможности расширения бизнеса, а низкая инфляция уменьшает их способность влиять на цены. </w:t>
      </w:r>
      <w:r w:rsidR="00737F0C">
        <w:rPr>
          <w:rFonts w:ascii="Arial" w:hAnsi="Arial" w:cs="Arial"/>
          <w:sz w:val="20"/>
          <w:szCs w:val="20"/>
        </w:rPr>
        <w:t>Нов</w:t>
      </w:r>
      <w:r w:rsidR="004C4372">
        <w:rPr>
          <w:rFonts w:ascii="Arial" w:hAnsi="Arial" w:cs="Arial"/>
          <w:sz w:val="20"/>
          <w:szCs w:val="20"/>
        </w:rPr>
        <w:t xml:space="preserve">ые оценки </w:t>
      </w:r>
      <w:proofErr w:type="spellStart"/>
      <w:r w:rsidR="004C4372">
        <w:rPr>
          <w:rFonts w:ascii="Arial" w:hAnsi="Arial" w:cs="Arial"/>
          <w:sz w:val="20"/>
          <w:szCs w:val="20"/>
        </w:rPr>
        <w:t>странового</w:t>
      </w:r>
      <w:proofErr w:type="spellEnd"/>
      <w:r w:rsidR="004C4372">
        <w:rPr>
          <w:rFonts w:ascii="Arial" w:hAnsi="Arial" w:cs="Arial"/>
          <w:sz w:val="20"/>
          <w:szCs w:val="20"/>
        </w:rPr>
        <w:t xml:space="preserve"> риска, подготовленные </w:t>
      </w:r>
      <w:proofErr w:type="spellStart"/>
      <w:r w:rsidR="004C4372">
        <w:rPr>
          <w:rFonts w:ascii="Arial" w:hAnsi="Arial" w:cs="Arial"/>
          <w:sz w:val="20"/>
          <w:szCs w:val="20"/>
          <w:lang w:val="en-US"/>
        </w:rPr>
        <w:t>Coface</w:t>
      </w:r>
      <w:proofErr w:type="spellEnd"/>
      <w:r w:rsidR="004C4372">
        <w:rPr>
          <w:rFonts w:ascii="Arial" w:hAnsi="Arial" w:cs="Arial"/>
          <w:sz w:val="20"/>
          <w:szCs w:val="20"/>
        </w:rPr>
        <w:t>,</w:t>
      </w:r>
      <w:r w:rsidR="00040A60">
        <w:rPr>
          <w:rStyle w:val="af2"/>
          <w:rFonts w:ascii="Arial" w:hAnsi="Arial" w:cs="Arial"/>
          <w:sz w:val="20"/>
          <w:szCs w:val="20"/>
        </w:rPr>
        <w:footnoteReference w:id="1"/>
      </w:r>
      <w:r w:rsidR="004C4372">
        <w:rPr>
          <w:rFonts w:ascii="Arial" w:hAnsi="Arial" w:cs="Arial"/>
          <w:sz w:val="20"/>
          <w:szCs w:val="20"/>
        </w:rPr>
        <w:t xml:space="preserve"> подтверждаю</w:t>
      </w:r>
      <w:r w:rsidR="00737F0C">
        <w:rPr>
          <w:rFonts w:ascii="Arial" w:hAnsi="Arial" w:cs="Arial"/>
          <w:sz w:val="20"/>
          <w:szCs w:val="20"/>
        </w:rPr>
        <w:t>т</w:t>
      </w:r>
      <w:r w:rsidR="004C4372">
        <w:rPr>
          <w:rFonts w:ascii="Arial" w:hAnsi="Arial" w:cs="Arial"/>
          <w:sz w:val="20"/>
          <w:szCs w:val="20"/>
        </w:rPr>
        <w:t xml:space="preserve">, что </w:t>
      </w:r>
      <w:r w:rsidR="002B7BC9">
        <w:rPr>
          <w:rFonts w:ascii="Arial" w:hAnsi="Arial" w:cs="Arial"/>
          <w:sz w:val="20"/>
          <w:szCs w:val="20"/>
        </w:rPr>
        <w:t>вероятность</w:t>
      </w:r>
      <w:r w:rsidR="004C4372">
        <w:rPr>
          <w:rFonts w:ascii="Arial" w:hAnsi="Arial" w:cs="Arial"/>
          <w:sz w:val="20"/>
          <w:szCs w:val="20"/>
        </w:rPr>
        <w:t xml:space="preserve"> </w:t>
      </w:r>
      <w:r w:rsidR="002B7BC9">
        <w:rPr>
          <w:rFonts w:ascii="Arial" w:hAnsi="Arial" w:cs="Arial"/>
          <w:sz w:val="20"/>
          <w:szCs w:val="20"/>
        </w:rPr>
        <w:t xml:space="preserve">корпоративных дефолтов </w:t>
      </w:r>
      <w:r w:rsidR="004C4372">
        <w:rPr>
          <w:rFonts w:ascii="Arial" w:hAnsi="Arial" w:cs="Arial"/>
          <w:sz w:val="20"/>
          <w:szCs w:val="20"/>
        </w:rPr>
        <w:t xml:space="preserve">явно </w:t>
      </w:r>
      <w:r w:rsidR="002B7BC9">
        <w:rPr>
          <w:rFonts w:ascii="Arial" w:hAnsi="Arial" w:cs="Arial"/>
          <w:sz w:val="20"/>
          <w:szCs w:val="20"/>
        </w:rPr>
        <w:t>усиливается</w:t>
      </w:r>
      <w:r w:rsidR="004C4372">
        <w:rPr>
          <w:rFonts w:ascii="Arial" w:hAnsi="Arial" w:cs="Arial"/>
          <w:sz w:val="20"/>
          <w:szCs w:val="20"/>
        </w:rPr>
        <w:t xml:space="preserve"> по всему миру. </w:t>
      </w:r>
      <w:r w:rsidR="002F6819">
        <w:rPr>
          <w:rFonts w:ascii="Arial" w:hAnsi="Arial" w:cs="Arial"/>
          <w:sz w:val="20"/>
          <w:szCs w:val="20"/>
        </w:rPr>
        <w:t>С</w:t>
      </w:r>
      <w:r w:rsidR="00CD4FA1">
        <w:rPr>
          <w:rFonts w:ascii="Arial" w:hAnsi="Arial" w:cs="Arial"/>
          <w:sz w:val="20"/>
          <w:szCs w:val="20"/>
        </w:rPr>
        <w:t>ейчас с</w:t>
      </w:r>
      <w:r w:rsidR="002F6819">
        <w:rPr>
          <w:rFonts w:ascii="Arial" w:hAnsi="Arial" w:cs="Arial"/>
          <w:sz w:val="20"/>
          <w:szCs w:val="20"/>
        </w:rPr>
        <w:t xml:space="preserve">редняя оценка для </w:t>
      </w:r>
      <w:r w:rsidR="00CD4FA1">
        <w:rPr>
          <w:rFonts w:ascii="Arial" w:hAnsi="Arial" w:cs="Arial"/>
          <w:sz w:val="20"/>
          <w:szCs w:val="20"/>
        </w:rPr>
        <w:t xml:space="preserve">всех </w:t>
      </w:r>
      <w:r w:rsidR="002F6819">
        <w:rPr>
          <w:rFonts w:ascii="Arial" w:hAnsi="Arial" w:cs="Arial"/>
          <w:sz w:val="20"/>
          <w:szCs w:val="20"/>
        </w:rPr>
        <w:t>160 стран</w:t>
      </w:r>
      <w:r w:rsidR="00CD4FA1">
        <w:rPr>
          <w:rFonts w:ascii="Arial" w:hAnsi="Arial" w:cs="Arial"/>
          <w:sz w:val="20"/>
          <w:szCs w:val="20"/>
        </w:rPr>
        <w:t xml:space="preserve"> достигла максимального значения с начала 2000-х годов – уровня </w:t>
      </w:r>
      <w:r w:rsidR="00CD4FA1" w:rsidRPr="00CD4FA1">
        <w:rPr>
          <w:rFonts w:ascii="Arial" w:hAnsi="Arial" w:cs="Arial"/>
          <w:sz w:val="20"/>
          <w:szCs w:val="20"/>
        </w:rPr>
        <w:t>“</w:t>
      </w:r>
      <w:r w:rsidR="00CD4FA1">
        <w:rPr>
          <w:rFonts w:ascii="Arial" w:hAnsi="Arial" w:cs="Arial"/>
          <w:sz w:val="20"/>
          <w:szCs w:val="20"/>
          <w:lang w:val="en-US"/>
        </w:rPr>
        <w:t>B</w:t>
      </w:r>
      <w:r w:rsidR="00CD4FA1" w:rsidRPr="00CD4FA1">
        <w:rPr>
          <w:rFonts w:ascii="Arial" w:hAnsi="Arial" w:cs="Arial"/>
          <w:sz w:val="20"/>
          <w:szCs w:val="20"/>
        </w:rPr>
        <w:t>”</w:t>
      </w:r>
      <w:r w:rsidR="00CD4FA1">
        <w:rPr>
          <w:rFonts w:ascii="Arial" w:hAnsi="Arial" w:cs="Arial"/>
          <w:sz w:val="20"/>
          <w:szCs w:val="20"/>
        </w:rPr>
        <w:t xml:space="preserve">, что соответствует «значительному риску». </w:t>
      </w:r>
    </w:p>
    <w:p w:rsidR="00B97D63" w:rsidRDefault="00B97D63" w:rsidP="006B231F">
      <w:pPr>
        <w:jc w:val="both"/>
        <w:rPr>
          <w:rFonts w:ascii="Arial" w:hAnsi="Arial" w:cs="Arial"/>
          <w:sz w:val="20"/>
          <w:szCs w:val="20"/>
        </w:rPr>
      </w:pPr>
    </w:p>
    <w:p w:rsidR="00B97D63" w:rsidRPr="00CD4FA1" w:rsidRDefault="00DB5FD6" w:rsidP="006B231F">
      <w:pPr>
        <w:jc w:val="both"/>
        <w:rPr>
          <w:rFonts w:ascii="Arial" w:eastAsia="Calibri" w:hAnsi="Arial" w:cs="Arial"/>
          <w:b/>
          <w:bCs/>
          <w:sz w:val="20"/>
          <w:szCs w:val="20"/>
        </w:rPr>
      </w:pPr>
      <w:r>
        <w:rPr>
          <w:rFonts w:ascii="Arial" w:eastAsia="Calibri" w:hAnsi="Arial" w:cs="Arial"/>
          <w:b/>
          <w:bCs/>
          <w:sz w:val="20"/>
          <w:szCs w:val="20"/>
        </w:rPr>
        <w:t>Ударная волна</w:t>
      </w:r>
      <w:r w:rsidR="002B7BC9">
        <w:rPr>
          <w:rFonts w:ascii="Arial" w:eastAsia="Calibri" w:hAnsi="Arial" w:cs="Arial"/>
          <w:b/>
          <w:bCs/>
          <w:sz w:val="20"/>
          <w:szCs w:val="20"/>
        </w:rPr>
        <w:t>, вызванн</w:t>
      </w:r>
      <w:r>
        <w:rPr>
          <w:rFonts w:ascii="Arial" w:eastAsia="Calibri" w:hAnsi="Arial" w:cs="Arial"/>
          <w:b/>
          <w:bCs/>
          <w:sz w:val="20"/>
          <w:szCs w:val="20"/>
        </w:rPr>
        <w:t>ая</w:t>
      </w:r>
      <w:r w:rsidR="00B97D63">
        <w:rPr>
          <w:rFonts w:ascii="Arial" w:eastAsia="Calibri" w:hAnsi="Arial" w:cs="Arial"/>
          <w:b/>
          <w:bCs/>
          <w:sz w:val="20"/>
          <w:szCs w:val="20"/>
        </w:rPr>
        <w:t xml:space="preserve"> уязвимост</w:t>
      </w:r>
      <w:r w:rsidR="002B7BC9">
        <w:rPr>
          <w:rFonts w:ascii="Arial" w:eastAsia="Calibri" w:hAnsi="Arial" w:cs="Arial"/>
          <w:b/>
          <w:bCs/>
          <w:sz w:val="20"/>
          <w:szCs w:val="20"/>
        </w:rPr>
        <w:t>ью</w:t>
      </w:r>
      <w:r w:rsidR="00B97D63">
        <w:rPr>
          <w:rFonts w:ascii="Arial" w:eastAsia="Calibri" w:hAnsi="Arial" w:cs="Arial"/>
          <w:b/>
          <w:bCs/>
          <w:sz w:val="20"/>
          <w:szCs w:val="20"/>
        </w:rPr>
        <w:t xml:space="preserve"> Соединенных Штатов и Китая</w:t>
      </w:r>
    </w:p>
    <w:p w:rsidR="000D2CA6" w:rsidRPr="006B231F" w:rsidRDefault="000D2CA6" w:rsidP="006B231F">
      <w:pPr>
        <w:jc w:val="both"/>
        <w:rPr>
          <w:rFonts w:ascii="Arial" w:eastAsia="Calibri" w:hAnsi="Arial" w:cs="Arial"/>
          <w:bCs/>
          <w:sz w:val="6"/>
          <w:szCs w:val="6"/>
        </w:rPr>
      </w:pPr>
    </w:p>
    <w:p w:rsidR="00B97D63" w:rsidRDefault="00B97D63" w:rsidP="006B231F">
      <w:pPr>
        <w:jc w:val="both"/>
        <w:rPr>
          <w:rFonts w:ascii="Arial" w:eastAsia="Calibri" w:hAnsi="Arial" w:cs="Arial"/>
          <w:bCs/>
          <w:sz w:val="20"/>
          <w:szCs w:val="20"/>
        </w:rPr>
      </w:pPr>
      <w:r>
        <w:rPr>
          <w:rFonts w:ascii="Arial" w:eastAsia="Calibri" w:hAnsi="Arial" w:cs="Arial"/>
          <w:bCs/>
          <w:sz w:val="20"/>
          <w:szCs w:val="20"/>
        </w:rPr>
        <w:t>Возросший кредитный риск негативно повлиял на т</w:t>
      </w:r>
      <w:r w:rsidRPr="00B97D63">
        <w:rPr>
          <w:rFonts w:ascii="Arial" w:eastAsia="Calibri" w:hAnsi="Arial" w:cs="Arial"/>
          <w:bCs/>
          <w:sz w:val="20"/>
          <w:szCs w:val="20"/>
        </w:rPr>
        <w:t xml:space="preserve">ри </w:t>
      </w:r>
      <w:r>
        <w:rPr>
          <w:rFonts w:ascii="Arial" w:eastAsia="Calibri" w:hAnsi="Arial" w:cs="Arial"/>
          <w:bCs/>
          <w:sz w:val="20"/>
          <w:szCs w:val="20"/>
        </w:rPr>
        <w:t>крупнейшие экономики мира: оценк</w:t>
      </w:r>
      <w:r w:rsidR="00446A41">
        <w:rPr>
          <w:rFonts w:ascii="Arial" w:eastAsia="Calibri" w:hAnsi="Arial" w:cs="Arial"/>
          <w:bCs/>
          <w:sz w:val="20"/>
          <w:szCs w:val="20"/>
        </w:rPr>
        <w:t>а</w:t>
      </w:r>
      <w:r>
        <w:rPr>
          <w:rFonts w:ascii="Arial" w:eastAsia="Calibri" w:hAnsi="Arial" w:cs="Arial"/>
          <w:bCs/>
          <w:sz w:val="20"/>
          <w:szCs w:val="20"/>
        </w:rPr>
        <w:t xml:space="preserve"> </w:t>
      </w:r>
      <w:proofErr w:type="spellStart"/>
      <w:r w:rsidR="00446A41">
        <w:rPr>
          <w:rFonts w:ascii="Arial" w:eastAsia="Calibri" w:hAnsi="Arial" w:cs="Arial"/>
          <w:bCs/>
          <w:sz w:val="20"/>
          <w:szCs w:val="20"/>
          <w:lang w:val="en-US"/>
        </w:rPr>
        <w:t>Coface</w:t>
      </w:r>
      <w:proofErr w:type="spellEnd"/>
      <w:r w:rsidR="00446A41" w:rsidRPr="00446A41">
        <w:rPr>
          <w:rFonts w:ascii="Arial" w:eastAsia="Calibri" w:hAnsi="Arial" w:cs="Arial"/>
          <w:bCs/>
          <w:sz w:val="20"/>
          <w:szCs w:val="20"/>
        </w:rPr>
        <w:t xml:space="preserve"> </w:t>
      </w:r>
      <w:r>
        <w:rPr>
          <w:rFonts w:ascii="Arial" w:eastAsia="Calibri" w:hAnsi="Arial" w:cs="Arial"/>
          <w:bCs/>
          <w:sz w:val="20"/>
          <w:szCs w:val="20"/>
        </w:rPr>
        <w:t xml:space="preserve">для Японии </w:t>
      </w:r>
      <w:r w:rsidR="00446A41">
        <w:rPr>
          <w:rFonts w:ascii="Arial" w:eastAsia="Calibri" w:hAnsi="Arial" w:cs="Arial"/>
          <w:bCs/>
          <w:sz w:val="20"/>
          <w:szCs w:val="20"/>
        </w:rPr>
        <w:t xml:space="preserve">уже была снижена в марте </w:t>
      </w:r>
      <w:r w:rsidR="006962F3">
        <w:rPr>
          <w:rFonts w:ascii="Arial" w:eastAsia="Calibri" w:hAnsi="Arial" w:cs="Arial"/>
          <w:bCs/>
          <w:sz w:val="20"/>
          <w:szCs w:val="20"/>
        </w:rPr>
        <w:t xml:space="preserve">до уровня </w:t>
      </w:r>
      <w:r w:rsidR="006962F3">
        <w:rPr>
          <w:rFonts w:ascii="Arial" w:eastAsia="Calibri" w:hAnsi="Arial" w:cs="Arial"/>
          <w:bCs/>
          <w:sz w:val="20"/>
          <w:szCs w:val="20"/>
          <w:lang w:val="en-US"/>
        </w:rPr>
        <w:t>A</w:t>
      </w:r>
      <w:r w:rsidR="006962F3" w:rsidRPr="006962F3">
        <w:rPr>
          <w:rFonts w:ascii="Arial" w:eastAsia="Calibri" w:hAnsi="Arial" w:cs="Arial"/>
          <w:bCs/>
          <w:sz w:val="20"/>
          <w:szCs w:val="20"/>
        </w:rPr>
        <w:t>2</w:t>
      </w:r>
      <w:r w:rsidR="00446A41">
        <w:rPr>
          <w:rFonts w:ascii="Arial" w:eastAsia="Calibri" w:hAnsi="Arial" w:cs="Arial"/>
          <w:bCs/>
          <w:sz w:val="20"/>
          <w:szCs w:val="20"/>
        </w:rPr>
        <w:t>, а</w:t>
      </w:r>
      <w:r w:rsidR="006962F3">
        <w:rPr>
          <w:rFonts w:ascii="Arial" w:eastAsia="Calibri" w:hAnsi="Arial" w:cs="Arial"/>
          <w:bCs/>
          <w:sz w:val="20"/>
          <w:szCs w:val="20"/>
        </w:rPr>
        <w:t xml:space="preserve"> теперь настала очередь США и Китая, ч</w:t>
      </w:r>
      <w:r w:rsidR="00C31FC0">
        <w:rPr>
          <w:rFonts w:ascii="Arial" w:eastAsia="Calibri" w:hAnsi="Arial" w:cs="Arial"/>
          <w:bCs/>
          <w:sz w:val="20"/>
          <w:szCs w:val="20"/>
        </w:rPr>
        <w:t>ьи</w:t>
      </w:r>
      <w:r w:rsidR="006962F3">
        <w:rPr>
          <w:rFonts w:ascii="Arial" w:eastAsia="Calibri" w:hAnsi="Arial" w:cs="Arial"/>
          <w:bCs/>
          <w:sz w:val="20"/>
          <w:szCs w:val="20"/>
        </w:rPr>
        <w:t xml:space="preserve"> рейтинг</w:t>
      </w:r>
      <w:r w:rsidR="00C31FC0">
        <w:rPr>
          <w:rFonts w:ascii="Arial" w:eastAsia="Calibri" w:hAnsi="Arial" w:cs="Arial"/>
          <w:bCs/>
          <w:sz w:val="20"/>
          <w:szCs w:val="20"/>
        </w:rPr>
        <w:t>и</w:t>
      </w:r>
      <w:r w:rsidR="006962F3">
        <w:rPr>
          <w:rFonts w:ascii="Arial" w:eastAsia="Calibri" w:hAnsi="Arial" w:cs="Arial"/>
          <w:bCs/>
          <w:sz w:val="20"/>
          <w:szCs w:val="20"/>
        </w:rPr>
        <w:t xml:space="preserve"> был</w:t>
      </w:r>
      <w:r w:rsidR="00C31FC0">
        <w:rPr>
          <w:rFonts w:ascii="Arial" w:eastAsia="Calibri" w:hAnsi="Arial" w:cs="Arial"/>
          <w:bCs/>
          <w:sz w:val="20"/>
          <w:szCs w:val="20"/>
        </w:rPr>
        <w:t>и</w:t>
      </w:r>
      <w:r w:rsidR="006962F3">
        <w:rPr>
          <w:rFonts w:ascii="Arial" w:eastAsia="Calibri" w:hAnsi="Arial" w:cs="Arial"/>
          <w:bCs/>
          <w:sz w:val="20"/>
          <w:szCs w:val="20"/>
        </w:rPr>
        <w:t xml:space="preserve"> понижен</w:t>
      </w:r>
      <w:r w:rsidR="00C31FC0">
        <w:rPr>
          <w:rFonts w:ascii="Arial" w:eastAsia="Calibri" w:hAnsi="Arial" w:cs="Arial"/>
          <w:bCs/>
          <w:sz w:val="20"/>
          <w:szCs w:val="20"/>
        </w:rPr>
        <w:t>ы</w:t>
      </w:r>
      <w:r w:rsidR="006962F3">
        <w:rPr>
          <w:rFonts w:ascii="Arial" w:eastAsia="Calibri" w:hAnsi="Arial" w:cs="Arial"/>
          <w:bCs/>
          <w:sz w:val="20"/>
          <w:szCs w:val="20"/>
        </w:rPr>
        <w:t xml:space="preserve"> до уровн</w:t>
      </w:r>
      <w:r w:rsidR="00446A41">
        <w:rPr>
          <w:rFonts w:ascii="Arial" w:eastAsia="Calibri" w:hAnsi="Arial" w:cs="Arial"/>
          <w:bCs/>
          <w:sz w:val="20"/>
          <w:szCs w:val="20"/>
        </w:rPr>
        <w:t>ей</w:t>
      </w:r>
      <w:r w:rsidR="006962F3">
        <w:rPr>
          <w:rFonts w:ascii="Arial" w:eastAsia="Calibri" w:hAnsi="Arial" w:cs="Arial"/>
          <w:bCs/>
          <w:sz w:val="20"/>
          <w:szCs w:val="20"/>
        </w:rPr>
        <w:t xml:space="preserve">, соответственно, </w:t>
      </w:r>
      <w:r w:rsidR="006962F3">
        <w:rPr>
          <w:rFonts w:ascii="Arial" w:eastAsia="Calibri" w:hAnsi="Arial" w:cs="Arial"/>
          <w:bCs/>
          <w:sz w:val="20"/>
          <w:szCs w:val="20"/>
          <w:lang w:val="en-US"/>
        </w:rPr>
        <w:t>A</w:t>
      </w:r>
      <w:r w:rsidR="006962F3" w:rsidRPr="006962F3">
        <w:rPr>
          <w:rFonts w:ascii="Arial" w:eastAsia="Calibri" w:hAnsi="Arial" w:cs="Arial"/>
          <w:bCs/>
          <w:sz w:val="20"/>
          <w:szCs w:val="20"/>
        </w:rPr>
        <w:t xml:space="preserve">2 </w:t>
      </w:r>
      <w:r w:rsidR="006962F3">
        <w:rPr>
          <w:rFonts w:ascii="Arial" w:eastAsia="Calibri" w:hAnsi="Arial" w:cs="Arial"/>
          <w:bCs/>
          <w:sz w:val="20"/>
          <w:szCs w:val="20"/>
        </w:rPr>
        <w:t xml:space="preserve">и </w:t>
      </w:r>
      <w:r w:rsidR="006962F3">
        <w:rPr>
          <w:rFonts w:ascii="Arial" w:eastAsia="Calibri" w:hAnsi="Arial" w:cs="Arial"/>
          <w:bCs/>
          <w:sz w:val="20"/>
          <w:szCs w:val="20"/>
          <w:lang w:val="en-US"/>
        </w:rPr>
        <w:t>B</w:t>
      </w:r>
      <w:r w:rsidR="006962F3" w:rsidRPr="006962F3">
        <w:rPr>
          <w:rFonts w:ascii="Arial" w:eastAsia="Calibri" w:hAnsi="Arial" w:cs="Arial"/>
          <w:bCs/>
          <w:sz w:val="20"/>
          <w:szCs w:val="20"/>
        </w:rPr>
        <w:t>.</w:t>
      </w:r>
    </w:p>
    <w:p w:rsidR="006962F3" w:rsidRPr="006B231F" w:rsidRDefault="006962F3" w:rsidP="006B231F">
      <w:pPr>
        <w:jc w:val="both"/>
        <w:rPr>
          <w:rFonts w:ascii="Arial" w:eastAsia="Calibri" w:hAnsi="Arial" w:cs="Arial"/>
          <w:bCs/>
          <w:sz w:val="6"/>
          <w:szCs w:val="6"/>
        </w:rPr>
      </w:pPr>
    </w:p>
    <w:p w:rsidR="006962F3" w:rsidRPr="00C31FC0" w:rsidRDefault="001665BD" w:rsidP="006B231F">
      <w:pPr>
        <w:pStyle w:val="af"/>
        <w:numPr>
          <w:ilvl w:val="0"/>
          <w:numId w:val="2"/>
        </w:numPr>
        <w:jc w:val="both"/>
        <w:rPr>
          <w:rFonts w:ascii="Arial" w:eastAsia="Calibri" w:hAnsi="Arial" w:cs="Arial"/>
          <w:bCs/>
          <w:sz w:val="20"/>
          <w:szCs w:val="20"/>
        </w:rPr>
      </w:pPr>
      <w:r w:rsidRPr="00C31FC0">
        <w:rPr>
          <w:rFonts w:ascii="Arial" w:eastAsia="Calibri" w:hAnsi="Arial" w:cs="Arial"/>
          <w:bCs/>
          <w:sz w:val="20"/>
          <w:szCs w:val="20"/>
        </w:rPr>
        <w:t>В США компании сталкиваются с проблемой, носящей цикличный характер:</w:t>
      </w:r>
      <w:r w:rsidR="00BE6297" w:rsidRPr="00C31FC0">
        <w:rPr>
          <w:rFonts w:ascii="Arial" w:eastAsia="Calibri" w:hAnsi="Arial" w:cs="Arial"/>
          <w:bCs/>
          <w:sz w:val="20"/>
          <w:szCs w:val="20"/>
        </w:rPr>
        <w:t xml:space="preserve"> была достигнута точка восстановления после кризиса, что привело к росту </w:t>
      </w:r>
      <w:r w:rsidR="00446A41">
        <w:rPr>
          <w:rFonts w:ascii="Arial" w:eastAsia="Calibri" w:hAnsi="Arial" w:cs="Arial"/>
          <w:bCs/>
          <w:sz w:val="20"/>
          <w:szCs w:val="20"/>
        </w:rPr>
        <w:t xml:space="preserve">числа </w:t>
      </w:r>
      <w:r w:rsidR="00BE6297" w:rsidRPr="00C31FC0">
        <w:rPr>
          <w:rFonts w:ascii="Arial" w:eastAsia="Calibri" w:hAnsi="Arial" w:cs="Arial"/>
          <w:bCs/>
          <w:sz w:val="20"/>
          <w:szCs w:val="20"/>
        </w:rPr>
        <w:t xml:space="preserve">банкротств компаний впервые с 2010 года. </w:t>
      </w:r>
      <w:r w:rsidR="0087080C" w:rsidRPr="00C31FC0">
        <w:rPr>
          <w:rFonts w:ascii="Arial" w:eastAsia="Calibri" w:hAnsi="Arial" w:cs="Arial"/>
          <w:bCs/>
          <w:sz w:val="20"/>
          <w:szCs w:val="20"/>
        </w:rPr>
        <w:t>Снижен</w:t>
      </w:r>
      <w:r w:rsidR="00BE6297" w:rsidRPr="00C31FC0">
        <w:rPr>
          <w:rFonts w:ascii="Arial" w:eastAsia="Calibri" w:hAnsi="Arial" w:cs="Arial"/>
          <w:bCs/>
          <w:sz w:val="20"/>
          <w:szCs w:val="20"/>
        </w:rPr>
        <w:t>ие прибыльности</w:t>
      </w:r>
      <w:r w:rsidR="0087080C" w:rsidRPr="00C31FC0">
        <w:rPr>
          <w:rFonts w:ascii="Arial" w:eastAsia="Calibri" w:hAnsi="Arial" w:cs="Arial"/>
          <w:bCs/>
          <w:sz w:val="20"/>
          <w:szCs w:val="20"/>
        </w:rPr>
        <w:t xml:space="preserve"> и </w:t>
      </w:r>
      <w:r w:rsidR="00446A41">
        <w:rPr>
          <w:rFonts w:ascii="Arial" w:eastAsia="Calibri" w:hAnsi="Arial" w:cs="Arial"/>
          <w:bCs/>
          <w:sz w:val="20"/>
          <w:szCs w:val="20"/>
        </w:rPr>
        <w:t xml:space="preserve">объемов </w:t>
      </w:r>
      <w:r w:rsidR="0087080C" w:rsidRPr="00C31FC0">
        <w:rPr>
          <w:rFonts w:ascii="Arial" w:eastAsia="Calibri" w:hAnsi="Arial" w:cs="Arial"/>
          <w:bCs/>
          <w:sz w:val="20"/>
          <w:szCs w:val="20"/>
        </w:rPr>
        <w:t xml:space="preserve">инвестиций </w:t>
      </w:r>
      <w:r w:rsidR="00446A41" w:rsidRPr="00C31FC0">
        <w:rPr>
          <w:rFonts w:ascii="Arial" w:eastAsia="Calibri" w:hAnsi="Arial" w:cs="Arial"/>
          <w:bCs/>
          <w:sz w:val="20"/>
          <w:szCs w:val="20"/>
        </w:rPr>
        <w:t xml:space="preserve">компаний </w:t>
      </w:r>
      <w:r w:rsidR="0087080C" w:rsidRPr="00C31FC0">
        <w:rPr>
          <w:rFonts w:ascii="Arial" w:eastAsia="Calibri" w:hAnsi="Arial" w:cs="Arial"/>
          <w:bCs/>
          <w:sz w:val="20"/>
          <w:szCs w:val="20"/>
        </w:rPr>
        <w:t xml:space="preserve">лежит в основе продолжающегося сокращения занятости. </w:t>
      </w:r>
    </w:p>
    <w:p w:rsidR="0087080C" w:rsidRPr="00C31FC0" w:rsidRDefault="0087080C" w:rsidP="006B231F">
      <w:pPr>
        <w:pStyle w:val="af"/>
        <w:numPr>
          <w:ilvl w:val="0"/>
          <w:numId w:val="2"/>
        </w:numPr>
        <w:jc w:val="both"/>
        <w:rPr>
          <w:rFonts w:ascii="Arial" w:eastAsia="Calibri" w:hAnsi="Arial" w:cs="Arial"/>
          <w:bCs/>
          <w:sz w:val="20"/>
          <w:szCs w:val="20"/>
        </w:rPr>
      </w:pPr>
      <w:r w:rsidRPr="00C31FC0">
        <w:rPr>
          <w:rFonts w:ascii="Arial" w:eastAsia="Calibri" w:hAnsi="Arial" w:cs="Arial"/>
          <w:bCs/>
          <w:sz w:val="20"/>
          <w:szCs w:val="20"/>
        </w:rPr>
        <w:t xml:space="preserve">В Китае, несмотря на стабильный рост, меры по стимулированию экономики оказывают ограниченное воздействие из-за наличия избыточных производственных мощностей и слишком высоких уровней корпоративного долга. </w:t>
      </w:r>
    </w:p>
    <w:p w:rsidR="00B97D63" w:rsidRPr="006B231F" w:rsidRDefault="00B97D63" w:rsidP="006B231F">
      <w:pPr>
        <w:jc w:val="both"/>
        <w:rPr>
          <w:rFonts w:ascii="Arial" w:eastAsia="Calibri" w:hAnsi="Arial" w:cs="Arial"/>
          <w:bCs/>
          <w:sz w:val="6"/>
          <w:szCs w:val="6"/>
        </w:rPr>
      </w:pPr>
    </w:p>
    <w:p w:rsidR="00C31FC0" w:rsidRDefault="00536E33" w:rsidP="006B231F">
      <w:pPr>
        <w:jc w:val="both"/>
        <w:rPr>
          <w:rFonts w:ascii="Arial" w:eastAsia="Calibri" w:hAnsi="Arial" w:cs="Arial"/>
          <w:bCs/>
          <w:sz w:val="20"/>
          <w:szCs w:val="20"/>
        </w:rPr>
      </w:pPr>
      <w:r>
        <w:rPr>
          <w:rFonts w:ascii="Arial" w:eastAsia="Calibri" w:hAnsi="Arial" w:cs="Arial"/>
          <w:bCs/>
          <w:sz w:val="20"/>
          <w:szCs w:val="20"/>
        </w:rPr>
        <w:t xml:space="preserve">Неудивительно, что эта ударная волна распространяется, с одной стороны, на </w:t>
      </w:r>
      <w:r w:rsidRPr="00EB3257">
        <w:rPr>
          <w:rFonts w:ascii="Arial" w:eastAsia="Calibri" w:hAnsi="Arial" w:cs="Arial"/>
          <w:b/>
          <w:bCs/>
          <w:sz w:val="20"/>
          <w:szCs w:val="20"/>
        </w:rPr>
        <w:t>Канаду</w:t>
      </w:r>
      <w:r>
        <w:rPr>
          <w:rFonts w:ascii="Arial" w:eastAsia="Calibri" w:hAnsi="Arial" w:cs="Arial"/>
          <w:bCs/>
          <w:sz w:val="20"/>
          <w:szCs w:val="20"/>
        </w:rPr>
        <w:t xml:space="preserve">, чей рейтинг был понижен до уровня А3, и, с другой стороны, на ряд азиатских стран. По этой причине, оценки </w:t>
      </w:r>
      <w:proofErr w:type="spellStart"/>
      <w:r>
        <w:rPr>
          <w:rFonts w:ascii="Arial" w:eastAsia="Calibri" w:hAnsi="Arial" w:cs="Arial"/>
          <w:bCs/>
          <w:sz w:val="20"/>
          <w:szCs w:val="20"/>
        </w:rPr>
        <w:t>странового</w:t>
      </w:r>
      <w:proofErr w:type="spellEnd"/>
      <w:r>
        <w:rPr>
          <w:rFonts w:ascii="Arial" w:eastAsia="Calibri" w:hAnsi="Arial" w:cs="Arial"/>
          <w:bCs/>
          <w:sz w:val="20"/>
          <w:szCs w:val="20"/>
        </w:rPr>
        <w:t xml:space="preserve"> риска </w:t>
      </w:r>
      <w:r w:rsidRPr="00EB3257">
        <w:rPr>
          <w:rFonts w:ascii="Arial" w:eastAsia="Calibri" w:hAnsi="Arial" w:cs="Arial"/>
          <w:b/>
          <w:bCs/>
          <w:sz w:val="20"/>
          <w:szCs w:val="20"/>
        </w:rPr>
        <w:t>Южной Кореи, Гонконга, Сингапура и Тайваня</w:t>
      </w:r>
      <w:r>
        <w:rPr>
          <w:rFonts w:ascii="Arial" w:eastAsia="Calibri" w:hAnsi="Arial" w:cs="Arial"/>
          <w:bCs/>
          <w:sz w:val="20"/>
          <w:szCs w:val="20"/>
        </w:rPr>
        <w:t xml:space="preserve"> были понижены до уровня </w:t>
      </w:r>
      <w:r>
        <w:rPr>
          <w:rFonts w:ascii="Arial" w:eastAsia="Calibri" w:hAnsi="Arial" w:cs="Arial"/>
          <w:bCs/>
          <w:sz w:val="20"/>
          <w:szCs w:val="20"/>
          <w:lang w:val="en-US"/>
        </w:rPr>
        <w:t>A</w:t>
      </w:r>
      <w:r w:rsidRPr="00536E33">
        <w:rPr>
          <w:rFonts w:ascii="Arial" w:eastAsia="Calibri" w:hAnsi="Arial" w:cs="Arial"/>
          <w:bCs/>
          <w:sz w:val="20"/>
          <w:szCs w:val="20"/>
        </w:rPr>
        <w:t>3</w:t>
      </w:r>
      <w:r>
        <w:rPr>
          <w:rFonts w:ascii="Arial" w:eastAsia="Calibri" w:hAnsi="Arial" w:cs="Arial"/>
          <w:bCs/>
          <w:sz w:val="20"/>
          <w:szCs w:val="20"/>
        </w:rPr>
        <w:t xml:space="preserve">, а </w:t>
      </w:r>
      <w:r w:rsidRPr="00EB3257">
        <w:rPr>
          <w:rFonts w:ascii="Arial" w:eastAsia="Calibri" w:hAnsi="Arial" w:cs="Arial"/>
          <w:b/>
          <w:bCs/>
          <w:sz w:val="20"/>
          <w:szCs w:val="20"/>
        </w:rPr>
        <w:t>Малайзии</w:t>
      </w:r>
      <w:r>
        <w:rPr>
          <w:rFonts w:ascii="Arial" w:eastAsia="Calibri" w:hAnsi="Arial" w:cs="Arial"/>
          <w:bCs/>
          <w:sz w:val="20"/>
          <w:szCs w:val="20"/>
        </w:rPr>
        <w:t xml:space="preserve"> – до уровня </w:t>
      </w:r>
      <w:r>
        <w:rPr>
          <w:rFonts w:ascii="Arial" w:eastAsia="Calibri" w:hAnsi="Arial" w:cs="Arial"/>
          <w:bCs/>
          <w:sz w:val="20"/>
          <w:szCs w:val="20"/>
          <w:lang w:val="en-US"/>
        </w:rPr>
        <w:t>A</w:t>
      </w:r>
      <w:r w:rsidRPr="00536E33">
        <w:rPr>
          <w:rFonts w:ascii="Arial" w:eastAsia="Calibri" w:hAnsi="Arial" w:cs="Arial"/>
          <w:bCs/>
          <w:sz w:val="20"/>
          <w:szCs w:val="20"/>
        </w:rPr>
        <w:t>4</w:t>
      </w:r>
      <w:r>
        <w:rPr>
          <w:rFonts w:ascii="Arial" w:eastAsia="Calibri" w:hAnsi="Arial" w:cs="Arial"/>
          <w:bCs/>
          <w:sz w:val="20"/>
          <w:szCs w:val="20"/>
        </w:rPr>
        <w:t xml:space="preserve">. </w:t>
      </w:r>
      <w:r w:rsidR="00C54FF1">
        <w:rPr>
          <w:rFonts w:ascii="Arial" w:eastAsia="Calibri" w:hAnsi="Arial" w:cs="Arial"/>
          <w:bCs/>
          <w:sz w:val="20"/>
          <w:szCs w:val="20"/>
        </w:rPr>
        <w:t xml:space="preserve">Структурное замедление китайской экономики оказывает сильное негативное воздействие на эти страны в плане экспорта, туризма и инвестиций. Кроме того, волатильность на сырьевых рынках, включая нефтяной рынок, ставит в невыгодное положение корпоративный бизнес. </w:t>
      </w:r>
    </w:p>
    <w:p w:rsidR="006B231F" w:rsidRDefault="006B231F" w:rsidP="006B231F">
      <w:pPr>
        <w:jc w:val="both"/>
        <w:rPr>
          <w:rFonts w:ascii="Arial" w:eastAsia="Calibri" w:hAnsi="Arial" w:cs="Arial"/>
          <w:bCs/>
          <w:sz w:val="20"/>
          <w:szCs w:val="20"/>
        </w:rPr>
      </w:pPr>
      <w:r>
        <w:rPr>
          <w:rFonts w:ascii="Arial" w:eastAsia="Calibri" w:hAnsi="Arial" w:cs="Arial"/>
          <w:bCs/>
          <w:sz w:val="20"/>
          <w:szCs w:val="20"/>
        </w:rPr>
        <w:br w:type="page"/>
      </w:r>
    </w:p>
    <w:p w:rsidR="005B6AC4" w:rsidRDefault="005B6AC4" w:rsidP="006B231F">
      <w:pPr>
        <w:jc w:val="both"/>
        <w:rPr>
          <w:rFonts w:ascii="Arial" w:eastAsia="Calibri" w:hAnsi="Arial" w:cs="Arial"/>
          <w:bCs/>
          <w:sz w:val="20"/>
          <w:szCs w:val="20"/>
        </w:rPr>
      </w:pPr>
    </w:p>
    <w:p w:rsidR="005B6AC4" w:rsidRPr="005B6AC4" w:rsidRDefault="005B6AC4" w:rsidP="006B231F">
      <w:pPr>
        <w:jc w:val="both"/>
        <w:rPr>
          <w:rFonts w:ascii="Arial" w:eastAsia="Calibri" w:hAnsi="Arial" w:cs="Arial"/>
          <w:b/>
          <w:bCs/>
          <w:sz w:val="20"/>
          <w:szCs w:val="20"/>
        </w:rPr>
      </w:pPr>
      <w:r w:rsidRPr="005B6AC4">
        <w:rPr>
          <w:rFonts w:ascii="Arial" w:eastAsia="Calibri" w:hAnsi="Arial" w:cs="Arial"/>
          <w:b/>
          <w:bCs/>
          <w:sz w:val="20"/>
          <w:szCs w:val="20"/>
        </w:rPr>
        <w:t>В Европе растут инвестиции, но при этом усиливаются политические риски</w:t>
      </w:r>
    </w:p>
    <w:p w:rsidR="005B6AC4" w:rsidRPr="006B231F" w:rsidRDefault="005B6AC4" w:rsidP="006B231F">
      <w:pPr>
        <w:jc w:val="both"/>
        <w:rPr>
          <w:rFonts w:ascii="Arial" w:eastAsia="Calibri" w:hAnsi="Arial" w:cs="Arial"/>
          <w:bCs/>
          <w:sz w:val="6"/>
          <w:szCs w:val="6"/>
        </w:rPr>
      </w:pPr>
    </w:p>
    <w:p w:rsidR="005B6AC4" w:rsidRPr="001D7244" w:rsidRDefault="005B6AC4" w:rsidP="006B231F">
      <w:pPr>
        <w:jc w:val="both"/>
        <w:rPr>
          <w:rFonts w:ascii="Arial" w:eastAsia="Calibri" w:hAnsi="Arial" w:cs="Arial"/>
          <w:bCs/>
          <w:sz w:val="20"/>
          <w:szCs w:val="20"/>
        </w:rPr>
      </w:pPr>
      <w:r>
        <w:rPr>
          <w:rFonts w:ascii="Arial" w:eastAsia="Calibri" w:hAnsi="Arial" w:cs="Arial"/>
          <w:bCs/>
          <w:sz w:val="20"/>
          <w:szCs w:val="20"/>
        </w:rPr>
        <w:t>Политическая неопределенность в Европе снижает уровни уверенности предпринимателей и потребителей. После голосования о вых</w:t>
      </w:r>
      <w:r w:rsidR="00D8033E">
        <w:rPr>
          <w:rFonts w:ascii="Arial" w:eastAsia="Calibri" w:hAnsi="Arial" w:cs="Arial"/>
          <w:bCs/>
          <w:sz w:val="20"/>
          <w:szCs w:val="20"/>
        </w:rPr>
        <w:t>оде Великобритании из Евросоюза</w:t>
      </w:r>
      <w:r>
        <w:rPr>
          <w:rFonts w:ascii="Arial" w:eastAsia="Calibri" w:hAnsi="Arial" w:cs="Arial"/>
          <w:bCs/>
          <w:sz w:val="20"/>
          <w:szCs w:val="20"/>
        </w:rPr>
        <w:t xml:space="preserve"> </w:t>
      </w:r>
      <w:proofErr w:type="spellStart"/>
      <w:r>
        <w:rPr>
          <w:rFonts w:ascii="Arial" w:eastAsia="Calibri" w:hAnsi="Arial" w:cs="Arial"/>
          <w:bCs/>
          <w:sz w:val="20"/>
          <w:szCs w:val="20"/>
          <w:lang w:val="en-US"/>
        </w:rPr>
        <w:t>Coface</w:t>
      </w:r>
      <w:proofErr w:type="spellEnd"/>
      <w:r w:rsidRPr="005B6AC4">
        <w:rPr>
          <w:rFonts w:ascii="Arial" w:eastAsia="Calibri" w:hAnsi="Arial" w:cs="Arial"/>
          <w:bCs/>
          <w:sz w:val="20"/>
          <w:szCs w:val="20"/>
        </w:rPr>
        <w:t xml:space="preserve"> </w:t>
      </w:r>
      <w:r>
        <w:rPr>
          <w:rFonts w:ascii="Arial" w:eastAsia="Calibri" w:hAnsi="Arial" w:cs="Arial"/>
          <w:bCs/>
          <w:sz w:val="20"/>
          <w:szCs w:val="20"/>
        </w:rPr>
        <w:t xml:space="preserve">понизил свой прогноз по росту британского ВВП в 2016 году на 0,6 </w:t>
      </w:r>
      <w:proofErr w:type="spellStart"/>
      <w:r>
        <w:rPr>
          <w:rFonts w:ascii="Arial" w:eastAsia="Calibri" w:hAnsi="Arial" w:cs="Arial"/>
          <w:bCs/>
          <w:sz w:val="20"/>
          <w:szCs w:val="20"/>
        </w:rPr>
        <w:t>п.п</w:t>
      </w:r>
      <w:proofErr w:type="spellEnd"/>
      <w:r>
        <w:rPr>
          <w:rFonts w:ascii="Arial" w:eastAsia="Calibri" w:hAnsi="Arial" w:cs="Arial"/>
          <w:bCs/>
          <w:sz w:val="20"/>
          <w:szCs w:val="20"/>
        </w:rPr>
        <w:t>. до уровня 1,2%.</w:t>
      </w:r>
      <w:r w:rsidR="001D7244" w:rsidRPr="001D7244">
        <w:rPr>
          <w:rFonts w:ascii="Arial" w:eastAsia="Calibri" w:hAnsi="Arial" w:cs="Arial"/>
          <w:bCs/>
          <w:sz w:val="20"/>
          <w:szCs w:val="20"/>
        </w:rPr>
        <w:t xml:space="preserve"> </w:t>
      </w:r>
      <w:r w:rsidR="001D7244">
        <w:rPr>
          <w:rFonts w:ascii="Arial" w:eastAsia="Calibri" w:hAnsi="Arial" w:cs="Arial"/>
          <w:bCs/>
          <w:sz w:val="20"/>
          <w:szCs w:val="20"/>
        </w:rPr>
        <w:t>Ориентированные на экспорт отрасли британской экономики пострада</w:t>
      </w:r>
      <w:r w:rsidR="009B7868">
        <w:rPr>
          <w:rFonts w:ascii="Arial" w:eastAsia="Calibri" w:hAnsi="Arial" w:cs="Arial"/>
          <w:bCs/>
          <w:sz w:val="20"/>
          <w:szCs w:val="20"/>
        </w:rPr>
        <w:t>ют</w:t>
      </w:r>
      <w:r w:rsidR="001D7244">
        <w:rPr>
          <w:rFonts w:ascii="Arial" w:eastAsia="Calibri" w:hAnsi="Arial" w:cs="Arial"/>
          <w:bCs/>
          <w:sz w:val="20"/>
          <w:szCs w:val="20"/>
        </w:rPr>
        <w:t xml:space="preserve"> в меньшей степени, так как </w:t>
      </w:r>
      <w:r w:rsidR="009B7868">
        <w:rPr>
          <w:rFonts w:ascii="Arial" w:eastAsia="Calibri" w:hAnsi="Arial" w:cs="Arial"/>
          <w:bCs/>
          <w:sz w:val="20"/>
          <w:szCs w:val="20"/>
        </w:rPr>
        <w:t xml:space="preserve">они </w:t>
      </w:r>
      <w:r w:rsidR="001D7244">
        <w:rPr>
          <w:rFonts w:ascii="Arial" w:eastAsia="Calibri" w:hAnsi="Arial" w:cs="Arial"/>
          <w:bCs/>
          <w:sz w:val="20"/>
          <w:szCs w:val="20"/>
        </w:rPr>
        <w:t>выигр</w:t>
      </w:r>
      <w:r w:rsidR="009B7868">
        <w:rPr>
          <w:rFonts w:ascii="Arial" w:eastAsia="Calibri" w:hAnsi="Arial" w:cs="Arial"/>
          <w:bCs/>
          <w:sz w:val="20"/>
          <w:szCs w:val="20"/>
        </w:rPr>
        <w:t>ывают</w:t>
      </w:r>
      <w:r w:rsidR="001D7244">
        <w:rPr>
          <w:rFonts w:ascii="Arial" w:eastAsia="Calibri" w:hAnsi="Arial" w:cs="Arial"/>
          <w:bCs/>
          <w:sz w:val="20"/>
          <w:szCs w:val="20"/>
        </w:rPr>
        <w:t xml:space="preserve"> от снижения курса фунта стерлингов. В долгосрочной перспективе </w:t>
      </w:r>
      <w:r w:rsidR="009B7868">
        <w:rPr>
          <w:rFonts w:ascii="Arial" w:eastAsia="Calibri" w:hAnsi="Arial" w:cs="Arial"/>
          <w:bCs/>
          <w:sz w:val="20"/>
          <w:szCs w:val="20"/>
        </w:rPr>
        <w:t xml:space="preserve">после отставки Дэвида </w:t>
      </w:r>
      <w:proofErr w:type="spellStart"/>
      <w:r w:rsidR="009B7868">
        <w:rPr>
          <w:rFonts w:ascii="Arial" w:eastAsia="Calibri" w:hAnsi="Arial" w:cs="Arial"/>
          <w:bCs/>
          <w:sz w:val="20"/>
          <w:szCs w:val="20"/>
        </w:rPr>
        <w:t>Кэмерона</w:t>
      </w:r>
      <w:proofErr w:type="spellEnd"/>
      <w:r w:rsidR="009B7868">
        <w:rPr>
          <w:rFonts w:ascii="Arial" w:eastAsia="Calibri" w:hAnsi="Arial" w:cs="Arial"/>
          <w:bCs/>
          <w:sz w:val="20"/>
          <w:szCs w:val="20"/>
        </w:rPr>
        <w:t xml:space="preserve"> </w:t>
      </w:r>
      <w:r w:rsidR="0060472E" w:rsidRPr="0060472E">
        <w:rPr>
          <w:rFonts w:ascii="Arial" w:eastAsia="Calibri" w:hAnsi="Arial" w:cs="Arial"/>
          <w:bCs/>
          <w:sz w:val="20"/>
          <w:szCs w:val="20"/>
        </w:rPr>
        <w:t xml:space="preserve">представляется маловероятным </w:t>
      </w:r>
      <w:r w:rsidR="001D7244">
        <w:rPr>
          <w:rFonts w:ascii="Arial" w:eastAsia="Calibri" w:hAnsi="Arial" w:cs="Arial"/>
          <w:bCs/>
          <w:sz w:val="20"/>
          <w:szCs w:val="20"/>
        </w:rPr>
        <w:t>заключение соглашения о свободной торговле, по типу имеющегося у Е</w:t>
      </w:r>
      <w:r w:rsidR="0060472E">
        <w:rPr>
          <w:rFonts w:ascii="Arial" w:eastAsia="Calibri" w:hAnsi="Arial" w:cs="Arial"/>
          <w:bCs/>
          <w:sz w:val="20"/>
          <w:szCs w:val="20"/>
        </w:rPr>
        <w:t>вросоюза</w:t>
      </w:r>
      <w:r w:rsidR="001D7244">
        <w:rPr>
          <w:rFonts w:ascii="Arial" w:eastAsia="Calibri" w:hAnsi="Arial" w:cs="Arial"/>
          <w:bCs/>
          <w:sz w:val="20"/>
          <w:szCs w:val="20"/>
        </w:rPr>
        <w:t xml:space="preserve"> с Норвегией. Если в торговле Великобритании с Е</w:t>
      </w:r>
      <w:r w:rsidR="0060472E">
        <w:rPr>
          <w:rFonts w:ascii="Arial" w:eastAsia="Calibri" w:hAnsi="Arial" w:cs="Arial"/>
          <w:bCs/>
          <w:sz w:val="20"/>
          <w:szCs w:val="20"/>
        </w:rPr>
        <w:t>С</w:t>
      </w:r>
      <w:r w:rsidR="001D7244">
        <w:rPr>
          <w:rFonts w:ascii="Arial" w:eastAsia="Calibri" w:hAnsi="Arial" w:cs="Arial"/>
          <w:bCs/>
          <w:sz w:val="20"/>
          <w:szCs w:val="20"/>
        </w:rPr>
        <w:t xml:space="preserve"> будут применяться правила ВТО, </w:t>
      </w:r>
      <w:r w:rsidR="009D677A">
        <w:rPr>
          <w:rFonts w:ascii="Arial" w:eastAsia="Calibri" w:hAnsi="Arial" w:cs="Arial"/>
          <w:bCs/>
          <w:sz w:val="20"/>
          <w:szCs w:val="20"/>
        </w:rPr>
        <w:t>то обе стороны заплатят за это высокую цену. Британские экспортеры связаны с ЕС цепочками поставок и могут пострадать от введени</w:t>
      </w:r>
      <w:r w:rsidR="0060472E">
        <w:rPr>
          <w:rFonts w:ascii="Arial" w:eastAsia="Calibri" w:hAnsi="Arial" w:cs="Arial"/>
          <w:bCs/>
          <w:sz w:val="20"/>
          <w:szCs w:val="20"/>
        </w:rPr>
        <w:t>я</w:t>
      </w:r>
      <w:r w:rsidR="009D677A">
        <w:rPr>
          <w:rFonts w:ascii="Arial" w:eastAsia="Calibri" w:hAnsi="Arial" w:cs="Arial"/>
          <w:bCs/>
          <w:sz w:val="20"/>
          <w:szCs w:val="20"/>
        </w:rPr>
        <w:t xml:space="preserve"> таможенных пошлин. В самом Евросоюзе </w:t>
      </w:r>
      <w:r w:rsidR="0060472E">
        <w:rPr>
          <w:rFonts w:ascii="Arial" w:eastAsia="Calibri" w:hAnsi="Arial" w:cs="Arial"/>
          <w:bCs/>
          <w:sz w:val="20"/>
          <w:szCs w:val="20"/>
        </w:rPr>
        <w:t xml:space="preserve">больше всего могут быть затронуты </w:t>
      </w:r>
      <w:r w:rsidR="009D677A">
        <w:rPr>
          <w:rFonts w:ascii="Arial" w:eastAsia="Calibri" w:hAnsi="Arial" w:cs="Arial"/>
          <w:bCs/>
          <w:sz w:val="20"/>
          <w:szCs w:val="20"/>
        </w:rPr>
        <w:t>государства с ограниченным по размеру внутренним рынком и тесными торговыми связями с Соединенным Королевством</w:t>
      </w:r>
      <w:r w:rsidR="00D1699F">
        <w:rPr>
          <w:rFonts w:ascii="Arial" w:eastAsia="Calibri" w:hAnsi="Arial" w:cs="Arial"/>
          <w:bCs/>
          <w:sz w:val="20"/>
          <w:szCs w:val="20"/>
        </w:rPr>
        <w:t xml:space="preserve">. К их числу относится Ирландия и, в меньшей степени, Нидерланды, Бельгия, Дания и Швеция. </w:t>
      </w:r>
    </w:p>
    <w:p w:rsidR="005B6AC4" w:rsidRPr="006B231F" w:rsidRDefault="005B6AC4" w:rsidP="006B231F">
      <w:pPr>
        <w:jc w:val="both"/>
        <w:rPr>
          <w:rFonts w:ascii="Arial" w:eastAsia="Calibri" w:hAnsi="Arial" w:cs="Arial"/>
          <w:bCs/>
          <w:sz w:val="6"/>
          <w:szCs w:val="6"/>
        </w:rPr>
      </w:pPr>
    </w:p>
    <w:p w:rsidR="001D7244" w:rsidRDefault="00D1699F" w:rsidP="006B231F">
      <w:pPr>
        <w:jc w:val="both"/>
        <w:rPr>
          <w:rFonts w:ascii="Arial" w:eastAsia="Calibri" w:hAnsi="Arial" w:cs="Arial"/>
          <w:bCs/>
          <w:sz w:val="20"/>
          <w:szCs w:val="20"/>
        </w:rPr>
      </w:pPr>
      <w:r>
        <w:rPr>
          <w:rFonts w:ascii="Arial" w:eastAsia="Calibri" w:hAnsi="Arial" w:cs="Arial"/>
          <w:bCs/>
          <w:sz w:val="20"/>
          <w:szCs w:val="20"/>
        </w:rPr>
        <w:t xml:space="preserve">В настоящее время не ожидается, что </w:t>
      </w:r>
      <w:r w:rsidR="003D6255">
        <w:rPr>
          <w:rFonts w:ascii="Arial" w:eastAsia="Calibri" w:hAnsi="Arial" w:cs="Arial"/>
          <w:bCs/>
          <w:sz w:val="20"/>
          <w:szCs w:val="20"/>
        </w:rPr>
        <w:t>вы</w:t>
      </w:r>
      <w:r>
        <w:rPr>
          <w:rFonts w:ascii="Arial" w:eastAsia="Calibri" w:hAnsi="Arial" w:cs="Arial"/>
          <w:bCs/>
          <w:sz w:val="20"/>
          <w:szCs w:val="20"/>
        </w:rPr>
        <w:t>ход Великобритании</w:t>
      </w:r>
      <w:r w:rsidR="006B231F">
        <w:rPr>
          <w:rFonts w:ascii="Arial" w:eastAsia="Calibri" w:hAnsi="Arial" w:cs="Arial"/>
          <w:bCs/>
          <w:sz w:val="20"/>
          <w:szCs w:val="20"/>
        </w:rPr>
        <w:t xml:space="preserve"> из ЕС</w:t>
      </w:r>
      <w:r>
        <w:rPr>
          <w:rFonts w:ascii="Arial" w:eastAsia="Calibri" w:hAnsi="Arial" w:cs="Arial"/>
          <w:bCs/>
          <w:sz w:val="20"/>
          <w:szCs w:val="20"/>
        </w:rPr>
        <w:t xml:space="preserve"> окажет какое-либо воздействие на </w:t>
      </w:r>
      <w:r w:rsidR="00742E31">
        <w:rPr>
          <w:rFonts w:ascii="Arial" w:eastAsia="Calibri" w:hAnsi="Arial" w:cs="Arial"/>
          <w:bCs/>
          <w:sz w:val="20"/>
          <w:szCs w:val="20"/>
        </w:rPr>
        <w:t xml:space="preserve">динамичный рост экономики еврозоны (по прогнозам, он составит 1,7% в 2016 году). Драйверами роста экономики стран, </w:t>
      </w:r>
      <w:r w:rsidR="00F22E26">
        <w:rPr>
          <w:rFonts w:ascii="Arial" w:eastAsia="Calibri" w:hAnsi="Arial" w:cs="Arial"/>
          <w:bCs/>
          <w:sz w:val="20"/>
          <w:szCs w:val="20"/>
        </w:rPr>
        <w:t>использующих единую европейскую валюту</w:t>
      </w:r>
      <w:r w:rsidR="00742E31">
        <w:rPr>
          <w:rFonts w:ascii="Arial" w:eastAsia="Calibri" w:hAnsi="Arial" w:cs="Arial"/>
          <w:bCs/>
          <w:sz w:val="20"/>
          <w:szCs w:val="20"/>
        </w:rPr>
        <w:t xml:space="preserve">, являются потребление домохозяйств и частные инвестиции. </w:t>
      </w:r>
      <w:r w:rsidR="005663B0">
        <w:rPr>
          <w:rFonts w:ascii="Arial" w:eastAsia="Calibri" w:hAnsi="Arial" w:cs="Arial"/>
          <w:bCs/>
          <w:sz w:val="20"/>
          <w:szCs w:val="20"/>
        </w:rPr>
        <w:t xml:space="preserve">Мягкая бюджетная политика, низкие цены на нефть и невысокие процентные ставки Европейского центрального банка положительно влияют на </w:t>
      </w:r>
      <w:proofErr w:type="spellStart"/>
      <w:r w:rsidR="005663B0">
        <w:rPr>
          <w:rFonts w:ascii="Arial" w:eastAsia="Calibri" w:hAnsi="Arial" w:cs="Arial"/>
          <w:bCs/>
          <w:sz w:val="20"/>
          <w:szCs w:val="20"/>
        </w:rPr>
        <w:t>маржинальность</w:t>
      </w:r>
      <w:proofErr w:type="spellEnd"/>
      <w:r w:rsidR="005663B0">
        <w:rPr>
          <w:rFonts w:ascii="Arial" w:eastAsia="Calibri" w:hAnsi="Arial" w:cs="Arial"/>
          <w:bCs/>
          <w:sz w:val="20"/>
          <w:szCs w:val="20"/>
        </w:rPr>
        <w:t xml:space="preserve"> бизнеса. Более широкий спектр услуг банковского кредитования </w:t>
      </w:r>
      <w:r w:rsidR="00013DDF">
        <w:rPr>
          <w:rFonts w:ascii="Arial" w:eastAsia="Calibri" w:hAnsi="Arial" w:cs="Arial"/>
          <w:bCs/>
          <w:sz w:val="20"/>
          <w:szCs w:val="20"/>
        </w:rPr>
        <w:t>приносит</w:t>
      </w:r>
      <w:r w:rsidR="005663B0">
        <w:rPr>
          <w:rFonts w:ascii="Arial" w:eastAsia="Calibri" w:hAnsi="Arial" w:cs="Arial"/>
          <w:bCs/>
          <w:sz w:val="20"/>
          <w:szCs w:val="20"/>
        </w:rPr>
        <w:t xml:space="preserve"> пользу малому бизнесу. </w:t>
      </w:r>
    </w:p>
    <w:p w:rsidR="00013DDF" w:rsidRPr="006B231F" w:rsidRDefault="00013DDF" w:rsidP="006B231F">
      <w:pPr>
        <w:jc w:val="both"/>
        <w:rPr>
          <w:rFonts w:ascii="Arial" w:eastAsia="Calibri" w:hAnsi="Arial" w:cs="Arial"/>
          <w:bCs/>
          <w:sz w:val="6"/>
          <w:szCs w:val="6"/>
        </w:rPr>
      </w:pPr>
    </w:p>
    <w:p w:rsidR="00013DDF" w:rsidRPr="0000692E" w:rsidRDefault="00013DDF" w:rsidP="006B231F">
      <w:pPr>
        <w:pStyle w:val="af"/>
        <w:numPr>
          <w:ilvl w:val="0"/>
          <w:numId w:val="3"/>
        </w:numPr>
        <w:jc w:val="both"/>
        <w:rPr>
          <w:rFonts w:ascii="Arial" w:eastAsia="Calibri" w:hAnsi="Arial" w:cs="Arial"/>
          <w:bCs/>
          <w:sz w:val="20"/>
          <w:szCs w:val="20"/>
        </w:rPr>
      </w:pPr>
      <w:proofErr w:type="spellStart"/>
      <w:r w:rsidRPr="0000692E">
        <w:rPr>
          <w:rFonts w:ascii="Arial" w:eastAsia="Calibri" w:hAnsi="Arial" w:cs="Arial"/>
          <w:bCs/>
          <w:sz w:val="20"/>
          <w:szCs w:val="20"/>
          <w:lang w:val="en-US"/>
        </w:rPr>
        <w:t>Coface</w:t>
      </w:r>
      <w:proofErr w:type="spellEnd"/>
      <w:r w:rsidRPr="0000692E">
        <w:rPr>
          <w:rFonts w:ascii="Arial" w:eastAsia="Calibri" w:hAnsi="Arial" w:cs="Arial"/>
          <w:bCs/>
          <w:sz w:val="20"/>
          <w:szCs w:val="20"/>
        </w:rPr>
        <w:t xml:space="preserve"> улучшил оценку </w:t>
      </w:r>
      <w:proofErr w:type="spellStart"/>
      <w:r w:rsidRPr="0000692E">
        <w:rPr>
          <w:rFonts w:ascii="Arial" w:eastAsia="Calibri" w:hAnsi="Arial" w:cs="Arial"/>
          <w:bCs/>
          <w:sz w:val="20"/>
          <w:szCs w:val="20"/>
        </w:rPr>
        <w:t>странового</w:t>
      </w:r>
      <w:proofErr w:type="spellEnd"/>
      <w:r w:rsidRPr="0000692E">
        <w:rPr>
          <w:rFonts w:ascii="Arial" w:eastAsia="Calibri" w:hAnsi="Arial" w:cs="Arial"/>
          <w:bCs/>
          <w:sz w:val="20"/>
          <w:szCs w:val="20"/>
        </w:rPr>
        <w:t xml:space="preserve"> риска для </w:t>
      </w:r>
      <w:r w:rsidRPr="0000692E">
        <w:rPr>
          <w:rFonts w:ascii="Arial" w:eastAsia="Calibri" w:hAnsi="Arial" w:cs="Arial"/>
          <w:b/>
          <w:bCs/>
          <w:sz w:val="20"/>
          <w:szCs w:val="20"/>
        </w:rPr>
        <w:t>Франции</w:t>
      </w:r>
      <w:r w:rsidRPr="0000692E">
        <w:rPr>
          <w:rFonts w:ascii="Arial" w:eastAsia="Calibri" w:hAnsi="Arial" w:cs="Arial"/>
          <w:bCs/>
          <w:sz w:val="20"/>
          <w:szCs w:val="20"/>
        </w:rPr>
        <w:t xml:space="preserve">, повысив ее до уровня </w:t>
      </w:r>
      <w:r w:rsidRPr="0000692E">
        <w:rPr>
          <w:rFonts w:ascii="Arial" w:eastAsia="Calibri" w:hAnsi="Arial" w:cs="Arial"/>
          <w:bCs/>
          <w:sz w:val="20"/>
          <w:szCs w:val="20"/>
          <w:lang w:val="en-US"/>
        </w:rPr>
        <w:t>A</w:t>
      </w:r>
      <w:r w:rsidRPr="0000692E">
        <w:rPr>
          <w:rFonts w:ascii="Arial" w:eastAsia="Calibri" w:hAnsi="Arial" w:cs="Arial"/>
          <w:bCs/>
          <w:sz w:val="20"/>
          <w:szCs w:val="20"/>
        </w:rPr>
        <w:t xml:space="preserve">2 в связи со следующими позитивными явлениями: самый высокий уровень инвестиций со стороны бизнеса за последние четыре года, </w:t>
      </w:r>
      <w:r w:rsidR="00E967C6" w:rsidRPr="0000692E">
        <w:rPr>
          <w:rFonts w:ascii="Arial" w:eastAsia="Calibri" w:hAnsi="Arial" w:cs="Arial"/>
          <w:bCs/>
          <w:sz w:val="20"/>
          <w:szCs w:val="20"/>
        </w:rPr>
        <w:t xml:space="preserve">ускоренный подъем в строительном секторе, на долю которого приходится 5% ВВП, и постоянное снижение количества банкротств (по оценкам, в 2016 году их число сократится на 3,2%). </w:t>
      </w:r>
    </w:p>
    <w:p w:rsidR="00555756" w:rsidRPr="0000692E" w:rsidRDefault="00555756" w:rsidP="006B231F">
      <w:pPr>
        <w:pStyle w:val="af"/>
        <w:numPr>
          <w:ilvl w:val="0"/>
          <w:numId w:val="3"/>
        </w:numPr>
        <w:jc w:val="both"/>
        <w:rPr>
          <w:rFonts w:ascii="Arial" w:eastAsia="Calibri" w:hAnsi="Arial" w:cs="Arial"/>
          <w:bCs/>
          <w:sz w:val="20"/>
          <w:szCs w:val="20"/>
        </w:rPr>
      </w:pPr>
      <w:r w:rsidRPr="0000692E">
        <w:rPr>
          <w:rFonts w:ascii="Arial" w:eastAsia="Calibri" w:hAnsi="Arial" w:cs="Arial"/>
          <w:bCs/>
          <w:sz w:val="20"/>
          <w:szCs w:val="20"/>
        </w:rPr>
        <w:t xml:space="preserve">Оценка для </w:t>
      </w:r>
      <w:r w:rsidRPr="0000692E">
        <w:rPr>
          <w:rFonts w:ascii="Arial" w:eastAsia="Calibri" w:hAnsi="Arial" w:cs="Arial"/>
          <w:b/>
          <w:bCs/>
          <w:sz w:val="20"/>
          <w:szCs w:val="20"/>
        </w:rPr>
        <w:t>Италии</w:t>
      </w:r>
      <w:r w:rsidRPr="0000692E">
        <w:rPr>
          <w:rFonts w:ascii="Arial" w:eastAsia="Calibri" w:hAnsi="Arial" w:cs="Arial"/>
          <w:bCs/>
          <w:sz w:val="20"/>
          <w:szCs w:val="20"/>
        </w:rPr>
        <w:t xml:space="preserve"> также была улучшена до уровня </w:t>
      </w:r>
      <w:r w:rsidRPr="0000692E">
        <w:rPr>
          <w:rFonts w:ascii="Arial" w:eastAsia="Calibri" w:hAnsi="Arial" w:cs="Arial"/>
          <w:bCs/>
          <w:sz w:val="20"/>
          <w:szCs w:val="20"/>
          <w:lang w:val="en-US"/>
        </w:rPr>
        <w:t>A</w:t>
      </w:r>
      <w:r w:rsidRPr="0000692E">
        <w:rPr>
          <w:rFonts w:ascii="Arial" w:eastAsia="Calibri" w:hAnsi="Arial" w:cs="Arial"/>
          <w:bCs/>
          <w:sz w:val="20"/>
          <w:szCs w:val="20"/>
        </w:rPr>
        <w:t>3 благодаря уменьшению количества банкротств, снижению уровня безработицы и ожидаемому росту инвестиций.</w:t>
      </w:r>
    </w:p>
    <w:p w:rsidR="00555756" w:rsidRPr="006B231F" w:rsidRDefault="00555756" w:rsidP="006B231F">
      <w:pPr>
        <w:jc w:val="both"/>
        <w:rPr>
          <w:rFonts w:ascii="Arial" w:eastAsia="Calibri" w:hAnsi="Arial" w:cs="Arial"/>
          <w:bCs/>
          <w:sz w:val="6"/>
          <w:szCs w:val="6"/>
        </w:rPr>
      </w:pPr>
    </w:p>
    <w:p w:rsidR="00555756" w:rsidRPr="003B440F" w:rsidRDefault="00AA7C7F" w:rsidP="006B231F">
      <w:pPr>
        <w:jc w:val="both"/>
        <w:rPr>
          <w:rFonts w:ascii="Arial" w:eastAsia="Calibri" w:hAnsi="Arial" w:cs="Arial"/>
          <w:bCs/>
          <w:sz w:val="20"/>
          <w:szCs w:val="20"/>
        </w:rPr>
      </w:pPr>
      <w:r>
        <w:rPr>
          <w:rFonts w:ascii="Arial" w:eastAsia="Calibri" w:hAnsi="Arial" w:cs="Arial"/>
          <w:bCs/>
          <w:sz w:val="20"/>
          <w:szCs w:val="20"/>
        </w:rPr>
        <w:t xml:space="preserve">Вслед за позитивными изменениями в Западной Европе были повышены </w:t>
      </w:r>
      <w:r w:rsidR="003B440F">
        <w:rPr>
          <w:rFonts w:ascii="Arial" w:eastAsia="Calibri" w:hAnsi="Arial" w:cs="Arial"/>
          <w:bCs/>
          <w:sz w:val="20"/>
          <w:szCs w:val="20"/>
        </w:rPr>
        <w:t xml:space="preserve">оценки и для четырех </w:t>
      </w:r>
      <w:proofErr w:type="spellStart"/>
      <w:r w:rsidR="003B440F">
        <w:rPr>
          <w:rFonts w:ascii="Arial" w:eastAsia="Calibri" w:hAnsi="Arial" w:cs="Arial"/>
          <w:bCs/>
          <w:sz w:val="20"/>
          <w:szCs w:val="20"/>
        </w:rPr>
        <w:t>центральноевропейских</w:t>
      </w:r>
      <w:proofErr w:type="spellEnd"/>
      <w:r w:rsidR="003B440F">
        <w:rPr>
          <w:rFonts w:ascii="Arial" w:eastAsia="Calibri" w:hAnsi="Arial" w:cs="Arial"/>
          <w:bCs/>
          <w:sz w:val="20"/>
          <w:szCs w:val="20"/>
        </w:rPr>
        <w:t xml:space="preserve"> стран: </w:t>
      </w:r>
      <w:r w:rsidR="003B440F" w:rsidRPr="00EB3257">
        <w:rPr>
          <w:rFonts w:ascii="Arial" w:eastAsia="Calibri" w:hAnsi="Arial" w:cs="Arial"/>
          <w:b/>
          <w:bCs/>
          <w:sz w:val="20"/>
          <w:szCs w:val="20"/>
        </w:rPr>
        <w:t>Литвы</w:t>
      </w:r>
      <w:r w:rsidR="003B440F">
        <w:rPr>
          <w:rFonts w:ascii="Arial" w:eastAsia="Calibri" w:hAnsi="Arial" w:cs="Arial"/>
          <w:bCs/>
          <w:sz w:val="20"/>
          <w:szCs w:val="20"/>
        </w:rPr>
        <w:t xml:space="preserve"> (до уровня </w:t>
      </w:r>
      <w:r w:rsidR="003B440F">
        <w:rPr>
          <w:rFonts w:ascii="Arial" w:eastAsia="Calibri" w:hAnsi="Arial" w:cs="Arial"/>
          <w:bCs/>
          <w:sz w:val="20"/>
          <w:szCs w:val="20"/>
          <w:lang w:val="en-US"/>
        </w:rPr>
        <w:t>A</w:t>
      </w:r>
      <w:r w:rsidR="003B440F">
        <w:rPr>
          <w:rFonts w:ascii="Arial" w:eastAsia="Calibri" w:hAnsi="Arial" w:cs="Arial"/>
          <w:bCs/>
          <w:sz w:val="20"/>
          <w:szCs w:val="20"/>
        </w:rPr>
        <w:t xml:space="preserve">3), </w:t>
      </w:r>
      <w:r w:rsidR="003B440F" w:rsidRPr="00EB3257">
        <w:rPr>
          <w:rFonts w:ascii="Arial" w:eastAsia="Calibri" w:hAnsi="Arial" w:cs="Arial"/>
          <w:b/>
          <w:bCs/>
          <w:sz w:val="20"/>
          <w:szCs w:val="20"/>
        </w:rPr>
        <w:t>Словении</w:t>
      </w:r>
      <w:r w:rsidR="003B440F">
        <w:rPr>
          <w:rFonts w:ascii="Arial" w:eastAsia="Calibri" w:hAnsi="Arial" w:cs="Arial"/>
          <w:bCs/>
          <w:sz w:val="20"/>
          <w:szCs w:val="20"/>
        </w:rPr>
        <w:t xml:space="preserve"> (</w:t>
      </w:r>
      <w:r w:rsidR="003B440F">
        <w:rPr>
          <w:rFonts w:ascii="Arial" w:eastAsia="Calibri" w:hAnsi="Arial" w:cs="Arial"/>
          <w:bCs/>
          <w:sz w:val="20"/>
          <w:szCs w:val="20"/>
          <w:lang w:val="en-US"/>
        </w:rPr>
        <w:t>A</w:t>
      </w:r>
      <w:r w:rsidR="003B440F" w:rsidRPr="003B440F">
        <w:rPr>
          <w:rFonts w:ascii="Arial" w:eastAsia="Calibri" w:hAnsi="Arial" w:cs="Arial"/>
          <w:bCs/>
          <w:sz w:val="20"/>
          <w:szCs w:val="20"/>
        </w:rPr>
        <w:t>3)</w:t>
      </w:r>
      <w:r w:rsidR="003B440F">
        <w:rPr>
          <w:rFonts w:ascii="Arial" w:eastAsia="Calibri" w:hAnsi="Arial" w:cs="Arial"/>
          <w:bCs/>
          <w:sz w:val="20"/>
          <w:szCs w:val="20"/>
        </w:rPr>
        <w:t xml:space="preserve">, </w:t>
      </w:r>
      <w:r w:rsidR="003B440F" w:rsidRPr="00EB3257">
        <w:rPr>
          <w:rFonts w:ascii="Arial" w:eastAsia="Calibri" w:hAnsi="Arial" w:cs="Arial"/>
          <w:b/>
          <w:bCs/>
          <w:sz w:val="20"/>
          <w:szCs w:val="20"/>
        </w:rPr>
        <w:t>Латвии</w:t>
      </w:r>
      <w:r w:rsidR="003B440F">
        <w:rPr>
          <w:rFonts w:ascii="Arial" w:eastAsia="Calibri" w:hAnsi="Arial" w:cs="Arial"/>
          <w:bCs/>
          <w:sz w:val="20"/>
          <w:szCs w:val="20"/>
        </w:rPr>
        <w:t xml:space="preserve"> (A4) и </w:t>
      </w:r>
      <w:r w:rsidR="003B440F" w:rsidRPr="00EB3257">
        <w:rPr>
          <w:rFonts w:ascii="Arial" w:eastAsia="Calibri" w:hAnsi="Arial" w:cs="Arial"/>
          <w:b/>
          <w:bCs/>
          <w:sz w:val="20"/>
          <w:szCs w:val="20"/>
        </w:rPr>
        <w:t>Румынии</w:t>
      </w:r>
      <w:r w:rsidR="003B440F">
        <w:rPr>
          <w:rFonts w:ascii="Arial" w:eastAsia="Calibri" w:hAnsi="Arial" w:cs="Arial"/>
          <w:bCs/>
          <w:sz w:val="20"/>
          <w:szCs w:val="20"/>
        </w:rPr>
        <w:t xml:space="preserve"> </w:t>
      </w:r>
      <w:r w:rsidR="003B440F" w:rsidRPr="003B440F">
        <w:rPr>
          <w:rFonts w:ascii="Arial" w:eastAsia="Calibri" w:hAnsi="Arial" w:cs="Arial"/>
          <w:bCs/>
          <w:sz w:val="20"/>
          <w:szCs w:val="20"/>
        </w:rPr>
        <w:t>(</w:t>
      </w:r>
      <w:r w:rsidR="003B440F">
        <w:rPr>
          <w:rFonts w:ascii="Arial" w:eastAsia="Calibri" w:hAnsi="Arial" w:cs="Arial"/>
          <w:bCs/>
          <w:sz w:val="20"/>
          <w:szCs w:val="20"/>
          <w:lang w:val="en-US"/>
        </w:rPr>
        <w:t>A</w:t>
      </w:r>
      <w:r w:rsidR="003B440F" w:rsidRPr="003B440F">
        <w:rPr>
          <w:rFonts w:ascii="Arial" w:eastAsia="Calibri" w:hAnsi="Arial" w:cs="Arial"/>
          <w:bCs/>
          <w:sz w:val="20"/>
          <w:szCs w:val="20"/>
        </w:rPr>
        <w:t>4)</w:t>
      </w:r>
      <w:r w:rsidR="003B440F">
        <w:rPr>
          <w:rFonts w:ascii="Arial" w:eastAsia="Calibri" w:hAnsi="Arial" w:cs="Arial"/>
          <w:bCs/>
          <w:sz w:val="20"/>
          <w:szCs w:val="20"/>
        </w:rPr>
        <w:t xml:space="preserve">. При этом учитывались такие факторы как уверенный экономический рост и снижение экспортной зависимости от России. </w:t>
      </w:r>
    </w:p>
    <w:p w:rsidR="00555756" w:rsidRDefault="00555756" w:rsidP="006B231F">
      <w:pPr>
        <w:jc w:val="both"/>
        <w:rPr>
          <w:rFonts w:ascii="Arial" w:eastAsia="Calibri" w:hAnsi="Arial" w:cs="Arial"/>
          <w:bCs/>
          <w:sz w:val="20"/>
          <w:szCs w:val="20"/>
        </w:rPr>
      </w:pPr>
    </w:p>
    <w:p w:rsidR="002C2CFD" w:rsidRPr="002C2CFD" w:rsidRDefault="002C2CFD" w:rsidP="006B231F">
      <w:pPr>
        <w:jc w:val="both"/>
        <w:rPr>
          <w:rFonts w:ascii="Arial" w:eastAsia="Calibri" w:hAnsi="Arial" w:cs="Arial"/>
          <w:b/>
          <w:bCs/>
          <w:sz w:val="20"/>
          <w:szCs w:val="20"/>
        </w:rPr>
      </w:pPr>
      <w:r w:rsidRPr="002C2CFD">
        <w:rPr>
          <w:rFonts w:ascii="Arial" w:eastAsia="Calibri" w:hAnsi="Arial" w:cs="Arial"/>
          <w:b/>
          <w:bCs/>
          <w:sz w:val="20"/>
          <w:szCs w:val="20"/>
        </w:rPr>
        <w:t>Падение цен на нефть продолжает оказывать существенное воздействие</w:t>
      </w:r>
    </w:p>
    <w:p w:rsidR="002C2CFD" w:rsidRPr="006B231F" w:rsidRDefault="002C2CFD" w:rsidP="006B231F">
      <w:pPr>
        <w:jc w:val="both"/>
        <w:rPr>
          <w:rFonts w:ascii="Arial" w:eastAsia="Calibri" w:hAnsi="Arial" w:cs="Arial"/>
          <w:bCs/>
          <w:sz w:val="6"/>
          <w:szCs w:val="6"/>
        </w:rPr>
      </w:pPr>
    </w:p>
    <w:p w:rsidR="002C2CFD" w:rsidRPr="00EB3257" w:rsidRDefault="0000692E" w:rsidP="006B231F">
      <w:pPr>
        <w:jc w:val="both"/>
        <w:rPr>
          <w:rFonts w:ascii="Arial" w:eastAsia="Calibri" w:hAnsi="Arial" w:cs="Arial"/>
          <w:bCs/>
          <w:sz w:val="20"/>
          <w:szCs w:val="20"/>
        </w:rPr>
      </w:pPr>
      <w:r>
        <w:rPr>
          <w:rFonts w:ascii="Arial" w:eastAsia="Calibri" w:hAnsi="Arial" w:cs="Arial"/>
          <w:bCs/>
          <w:sz w:val="20"/>
          <w:szCs w:val="20"/>
        </w:rPr>
        <w:t xml:space="preserve">Эффект от падения цен на нефть продолжает ощущаться в странах, которые экспортируют этот вид сырья. В </w:t>
      </w:r>
      <w:r w:rsidRPr="00EB3257">
        <w:rPr>
          <w:rFonts w:ascii="Arial" w:eastAsia="Calibri" w:hAnsi="Arial" w:cs="Arial"/>
          <w:b/>
          <w:bCs/>
          <w:sz w:val="20"/>
          <w:szCs w:val="20"/>
        </w:rPr>
        <w:t>Саудовской Аравии</w:t>
      </w:r>
      <w:r>
        <w:rPr>
          <w:rFonts w:ascii="Arial" w:eastAsia="Calibri" w:hAnsi="Arial" w:cs="Arial"/>
          <w:bCs/>
          <w:sz w:val="20"/>
          <w:szCs w:val="20"/>
        </w:rPr>
        <w:t xml:space="preserve"> (новая оценка установлена </w:t>
      </w:r>
      <w:proofErr w:type="spellStart"/>
      <w:r>
        <w:rPr>
          <w:rFonts w:ascii="Arial" w:eastAsia="Calibri" w:hAnsi="Arial" w:cs="Arial"/>
          <w:bCs/>
          <w:sz w:val="20"/>
          <w:szCs w:val="20"/>
          <w:lang w:val="en-US"/>
        </w:rPr>
        <w:t>Coface</w:t>
      </w:r>
      <w:proofErr w:type="spellEnd"/>
      <w:r>
        <w:rPr>
          <w:rFonts w:ascii="Arial" w:eastAsia="Calibri" w:hAnsi="Arial" w:cs="Arial"/>
          <w:bCs/>
          <w:sz w:val="20"/>
          <w:szCs w:val="20"/>
        </w:rPr>
        <w:t xml:space="preserve"> на уровне </w:t>
      </w:r>
      <w:r>
        <w:rPr>
          <w:rFonts w:ascii="Arial" w:eastAsia="Calibri" w:hAnsi="Arial" w:cs="Arial"/>
          <w:bCs/>
          <w:sz w:val="20"/>
          <w:szCs w:val="20"/>
          <w:lang w:val="en-US"/>
        </w:rPr>
        <w:t>B</w:t>
      </w:r>
      <w:r>
        <w:rPr>
          <w:rFonts w:ascii="Arial" w:eastAsia="Calibri" w:hAnsi="Arial" w:cs="Arial"/>
          <w:bCs/>
          <w:sz w:val="20"/>
          <w:szCs w:val="20"/>
        </w:rPr>
        <w:t xml:space="preserve">), в </w:t>
      </w:r>
      <w:r w:rsidRPr="00EB3257">
        <w:rPr>
          <w:rFonts w:ascii="Arial" w:eastAsia="Calibri" w:hAnsi="Arial" w:cs="Arial"/>
          <w:b/>
          <w:bCs/>
          <w:sz w:val="20"/>
          <w:szCs w:val="20"/>
        </w:rPr>
        <w:t>Кувейте</w:t>
      </w:r>
      <w:r>
        <w:rPr>
          <w:rFonts w:ascii="Arial" w:eastAsia="Calibri" w:hAnsi="Arial" w:cs="Arial"/>
          <w:bCs/>
          <w:sz w:val="20"/>
          <w:szCs w:val="20"/>
        </w:rPr>
        <w:t xml:space="preserve"> (</w:t>
      </w:r>
      <w:r>
        <w:rPr>
          <w:rFonts w:ascii="Arial" w:eastAsia="Calibri" w:hAnsi="Arial" w:cs="Arial"/>
          <w:bCs/>
          <w:sz w:val="20"/>
          <w:szCs w:val="20"/>
          <w:lang w:val="en-US"/>
        </w:rPr>
        <w:t>A</w:t>
      </w:r>
      <w:r w:rsidRPr="0000692E">
        <w:rPr>
          <w:rFonts w:ascii="Arial" w:eastAsia="Calibri" w:hAnsi="Arial" w:cs="Arial"/>
          <w:bCs/>
          <w:sz w:val="20"/>
          <w:szCs w:val="20"/>
        </w:rPr>
        <w:t>3)</w:t>
      </w:r>
      <w:r>
        <w:rPr>
          <w:rFonts w:ascii="Arial" w:eastAsia="Calibri" w:hAnsi="Arial" w:cs="Arial"/>
          <w:bCs/>
          <w:sz w:val="20"/>
          <w:szCs w:val="20"/>
        </w:rPr>
        <w:t xml:space="preserve">, </w:t>
      </w:r>
      <w:r w:rsidRPr="00EB3257">
        <w:rPr>
          <w:rFonts w:ascii="Arial" w:eastAsia="Calibri" w:hAnsi="Arial" w:cs="Arial"/>
          <w:b/>
          <w:bCs/>
          <w:sz w:val="20"/>
          <w:szCs w:val="20"/>
        </w:rPr>
        <w:t>Катаре</w:t>
      </w:r>
      <w:r>
        <w:rPr>
          <w:rFonts w:ascii="Arial" w:eastAsia="Calibri" w:hAnsi="Arial" w:cs="Arial"/>
          <w:bCs/>
          <w:sz w:val="20"/>
          <w:szCs w:val="20"/>
        </w:rPr>
        <w:t xml:space="preserve"> </w:t>
      </w:r>
      <w:r w:rsidRPr="0000692E">
        <w:rPr>
          <w:rFonts w:ascii="Arial" w:eastAsia="Calibri" w:hAnsi="Arial" w:cs="Arial"/>
          <w:bCs/>
          <w:sz w:val="20"/>
          <w:szCs w:val="20"/>
        </w:rPr>
        <w:t>(</w:t>
      </w:r>
      <w:r>
        <w:rPr>
          <w:rFonts w:ascii="Arial" w:eastAsia="Calibri" w:hAnsi="Arial" w:cs="Arial"/>
          <w:bCs/>
          <w:sz w:val="20"/>
          <w:szCs w:val="20"/>
          <w:lang w:val="en-US"/>
        </w:rPr>
        <w:t>A</w:t>
      </w:r>
      <w:r w:rsidRPr="0000692E">
        <w:rPr>
          <w:rFonts w:ascii="Arial" w:eastAsia="Calibri" w:hAnsi="Arial" w:cs="Arial"/>
          <w:bCs/>
          <w:sz w:val="20"/>
          <w:szCs w:val="20"/>
        </w:rPr>
        <w:t>3)</w:t>
      </w:r>
      <w:r>
        <w:rPr>
          <w:rFonts w:ascii="Arial" w:eastAsia="Calibri" w:hAnsi="Arial" w:cs="Arial"/>
          <w:bCs/>
          <w:sz w:val="20"/>
          <w:szCs w:val="20"/>
        </w:rPr>
        <w:t xml:space="preserve"> и </w:t>
      </w:r>
      <w:r w:rsidRPr="00EB3257">
        <w:rPr>
          <w:rFonts w:ascii="Arial" w:eastAsia="Calibri" w:hAnsi="Arial" w:cs="Arial"/>
          <w:b/>
          <w:bCs/>
          <w:sz w:val="20"/>
          <w:szCs w:val="20"/>
        </w:rPr>
        <w:t>Алжире</w:t>
      </w:r>
      <w:r>
        <w:rPr>
          <w:rFonts w:ascii="Arial" w:eastAsia="Calibri" w:hAnsi="Arial" w:cs="Arial"/>
          <w:bCs/>
          <w:sz w:val="20"/>
          <w:szCs w:val="20"/>
        </w:rPr>
        <w:t xml:space="preserve"> (</w:t>
      </w:r>
      <w:r>
        <w:rPr>
          <w:rFonts w:ascii="Arial" w:eastAsia="Calibri" w:hAnsi="Arial" w:cs="Arial"/>
          <w:bCs/>
          <w:sz w:val="20"/>
          <w:szCs w:val="20"/>
          <w:lang w:val="en-US"/>
        </w:rPr>
        <w:t>C</w:t>
      </w:r>
      <w:r w:rsidRPr="0000692E">
        <w:rPr>
          <w:rFonts w:ascii="Arial" w:eastAsia="Calibri" w:hAnsi="Arial" w:cs="Arial"/>
          <w:bCs/>
          <w:sz w:val="20"/>
          <w:szCs w:val="20"/>
        </w:rPr>
        <w:t>)</w:t>
      </w:r>
      <w:r>
        <w:rPr>
          <w:rFonts w:ascii="Arial" w:eastAsia="Calibri" w:hAnsi="Arial" w:cs="Arial"/>
          <w:bCs/>
          <w:sz w:val="20"/>
          <w:szCs w:val="20"/>
        </w:rPr>
        <w:t xml:space="preserve"> увеличился дефицит бюджета и замедлился рост отраслей, которые не связаны с добычей углеводородов. Это также относится к </w:t>
      </w:r>
      <w:r w:rsidRPr="00EB3257">
        <w:rPr>
          <w:rFonts w:ascii="Arial" w:eastAsia="Calibri" w:hAnsi="Arial" w:cs="Arial"/>
          <w:b/>
          <w:bCs/>
          <w:sz w:val="20"/>
          <w:szCs w:val="20"/>
        </w:rPr>
        <w:t>Анголе</w:t>
      </w:r>
      <w:r>
        <w:rPr>
          <w:rFonts w:ascii="Arial" w:eastAsia="Calibri" w:hAnsi="Arial" w:cs="Arial"/>
          <w:bCs/>
          <w:sz w:val="20"/>
          <w:szCs w:val="20"/>
        </w:rPr>
        <w:t xml:space="preserve"> и </w:t>
      </w:r>
      <w:r w:rsidRPr="00EB3257">
        <w:rPr>
          <w:rFonts w:ascii="Arial" w:eastAsia="Calibri" w:hAnsi="Arial" w:cs="Arial"/>
          <w:b/>
          <w:bCs/>
          <w:sz w:val="20"/>
          <w:szCs w:val="20"/>
        </w:rPr>
        <w:t>Замбии</w:t>
      </w:r>
      <w:r>
        <w:rPr>
          <w:rFonts w:ascii="Arial" w:eastAsia="Calibri" w:hAnsi="Arial" w:cs="Arial"/>
          <w:bCs/>
          <w:sz w:val="20"/>
          <w:szCs w:val="20"/>
        </w:rPr>
        <w:t xml:space="preserve"> (оценка для обеих стран – </w:t>
      </w:r>
      <w:r>
        <w:rPr>
          <w:rFonts w:ascii="Arial" w:eastAsia="Calibri" w:hAnsi="Arial" w:cs="Arial"/>
          <w:bCs/>
          <w:sz w:val="20"/>
          <w:szCs w:val="20"/>
          <w:lang w:val="en-US"/>
        </w:rPr>
        <w:t>D</w:t>
      </w:r>
      <w:r w:rsidRPr="0000692E">
        <w:rPr>
          <w:rFonts w:ascii="Arial" w:eastAsia="Calibri" w:hAnsi="Arial" w:cs="Arial"/>
          <w:bCs/>
          <w:sz w:val="20"/>
          <w:szCs w:val="20"/>
        </w:rPr>
        <w:t>)</w:t>
      </w:r>
      <w:r>
        <w:rPr>
          <w:rFonts w:ascii="Arial" w:eastAsia="Calibri" w:hAnsi="Arial" w:cs="Arial"/>
          <w:bCs/>
          <w:sz w:val="20"/>
          <w:szCs w:val="20"/>
        </w:rPr>
        <w:t xml:space="preserve">, где из-за замедления китайской экономики и падения цен на сырьевые товары произошла девальвация национальной валюты. </w:t>
      </w:r>
      <w:r w:rsidR="00EB3257">
        <w:rPr>
          <w:rFonts w:ascii="Arial" w:eastAsia="Calibri" w:hAnsi="Arial" w:cs="Arial"/>
          <w:bCs/>
          <w:sz w:val="20"/>
          <w:szCs w:val="20"/>
        </w:rPr>
        <w:t xml:space="preserve">Для </w:t>
      </w:r>
      <w:r w:rsidR="00EB3257" w:rsidRPr="00EB3257">
        <w:rPr>
          <w:rFonts w:ascii="Arial" w:eastAsia="Calibri" w:hAnsi="Arial" w:cs="Arial"/>
          <w:b/>
          <w:bCs/>
          <w:sz w:val="20"/>
          <w:szCs w:val="20"/>
        </w:rPr>
        <w:t>Мозамбика</w:t>
      </w:r>
      <w:r w:rsidR="00EB3257">
        <w:rPr>
          <w:rFonts w:ascii="Arial" w:eastAsia="Calibri" w:hAnsi="Arial" w:cs="Arial"/>
          <w:bCs/>
          <w:sz w:val="20"/>
          <w:szCs w:val="20"/>
        </w:rPr>
        <w:t xml:space="preserve"> (</w:t>
      </w:r>
      <w:r w:rsidR="00EB3257">
        <w:rPr>
          <w:rFonts w:ascii="Arial" w:eastAsia="Calibri" w:hAnsi="Arial" w:cs="Arial"/>
          <w:bCs/>
          <w:sz w:val="20"/>
          <w:szCs w:val="20"/>
          <w:lang w:val="en-US"/>
        </w:rPr>
        <w:t>D</w:t>
      </w:r>
      <w:r w:rsidR="00EB3257" w:rsidRPr="00EB3257">
        <w:rPr>
          <w:rFonts w:ascii="Arial" w:eastAsia="Calibri" w:hAnsi="Arial" w:cs="Arial"/>
          <w:bCs/>
          <w:sz w:val="20"/>
          <w:szCs w:val="20"/>
        </w:rPr>
        <w:t>)</w:t>
      </w:r>
      <w:r w:rsidR="00EB3257">
        <w:rPr>
          <w:rFonts w:ascii="Arial" w:eastAsia="Calibri" w:hAnsi="Arial" w:cs="Arial"/>
          <w:bCs/>
          <w:sz w:val="20"/>
          <w:szCs w:val="20"/>
        </w:rPr>
        <w:t xml:space="preserve"> высока вероятность неисполнения платежных обязательств. </w:t>
      </w:r>
    </w:p>
    <w:p w:rsidR="00555756" w:rsidRPr="006B231F" w:rsidRDefault="00555756" w:rsidP="006B231F">
      <w:pPr>
        <w:jc w:val="both"/>
        <w:rPr>
          <w:rFonts w:ascii="Arial" w:eastAsia="Calibri" w:hAnsi="Arial" w:cs="Arial"/>
          <w:bCs/>
          <w:sz w:val="6"/>
          <w:szCs w:val="6"/>
        </w:rPr>
      </w:pPr>
    </w:p>
    <w:p w:rsidR="002C0DE5" w:rsidRPr="00976922" w:rsidRDefault="00D62B86" w:rsidP="006B231F">
      <w:pPr>
        <w:jc w:val="both"/>
        <w:rPr>
          <w:rFonts w:ascii="Arial" w:eastAsia="Calibri" w:hAnsi="Arial" w:cs="Arial"/>
          <w:bCs/>
          <w:sz w:val="20"/>
          <w:szCs w:val="20"/>
        </w:rPr>
      </w:pPr>
      <w:r>
        <w:rPr>
          <w:rFonts w:ascii="Arial" w:eastAsia="Calibri" w:hAnsi="Arial" w:cs="Arial"/>
          <w:bCs/>
          <w:sz w:val="20"/>
          <w:szCs w:val="20"/>
        </w:rPr>
        <w:t xml:space="preserve">В такой ситуации </w:t>
      </w:r>
      <w:proofErr w:type="spellStart"/>
      <w:r>
        <w:rPr>
          <w:rFonts w:ascii="Arial" w:eastAsia="Calibri" w:hAnsi="Arial" w:cs="Arial"/>
          <w:bCs/>
          <w:sz w:val="20"/>
          <w:szCs w:val="20"/>
          <w:lang w:val="en-US"/>
        </w:rPr>
        <w:t>Coface</w:t>
      </w:r>
      <w:proofErr w:type="spellEnd"/>
      <w:r w:rsidRPr="00D62B86">
        <w:rPr>
          <w:rFonts w:ascii="Arial" w:eastAsia="Calibri" w:hAnsi="Arial" w:cs="Arial"/>
          <w:bCs/>
          <w:sz w:val="20"/>
          <w:szCs w:val="20"/>
        </w:rPr>
        <w:t xml:space="preserve"> </w:t>
      </w:r>
      <w:r>
        <w:rPr>
          <w:rFonts w:ascii="Arial" w:eastAsia="Calibri" w:hAnsi="Arial" w:cs="Arial"/>
          <w:bCs/>
          <w:sz w:val="20"/>
          <w:szCs w:val="20"/>
        </w:rPr>
        <w:t xml:space="preserve">считает, что необходимо ввести восьмую категорию риска – </w:t>
      </w:r>
      <w:r w:rsidRPr="00D62B86">
        <w:rPr>
          <w:rFonts w:ascii="Arial" w:eastAsia="Calibri" w:hAnsi="Arial" w:cs="Arial"/>
          <w:bCs/>
          <w:sz w:val="20"/>
          <w:szCs w:val="20"/>
        </w:rPr>
        <w:t>“</w:t>
      </w:r>
      <w:r>
        <w:rPr>
          <w:rFonts w:ascii="Arial" w:eastAsia="Calibri" w:hAnsi="Arial" w:cs="Arial"/>
          <w:bCs/>
          <w:sz w:val="20"/>
          <w:szCs w:val="20"/>
          <w:lang w:val="en-US"/>
        </w:rPr>
        <w:t>E</w:t>
      </w:r>
      <w:r w:rsidRPr="00D62B86">
        <w:rPr>
          <w:rFonts w:ascii="Arial" w:eastAsia="Calibri" w:hAnsi="Arial" w:cs="Arial"/>
          <w:bCs/>
          <w:sz w:val="20"/>
          <w:szCs w:val="20"/>
        </w:rPr>
        <w:t>”</w:t>
      </w:r>
      <w:r>
        <w:rPr>
          <w:rFonts w:ascii="Arial" w:eastAsia="Calibri" w:hAnsi="Arial" w:cs="Arial"/>
          <w:bCs/>
          <w:sz w:val="20"/>
          <w:szCs w:val="20"/>
        </w:rPr>
        <w:t xml:space="preserve"> – которая соответствовала бы «крайне высокому уровню риска». </w:t>
      </w:r>
      <w:r w:rsidR="00976922">
        <w:rPr>
          <w:rFonts w:ascii="Arial" w:eastAsia="Calibri" w:hAnsi="Arial" w:cs="Arial"/>
          <w:bCs/>
          <w:sz w:val="20"/>
          <w:szCs w:val="20"/>
        </w:rPr>
        <w:t xml:space="preserve">Это позволит повысить степень дробности шкалы, по которой проводится анализ </w:t>
      </w:r>
      <w:proofErr w:type="spellStart"/>
      <w:r w:rsidR="00976922">
        <w:rPr>
          <w:rFonts w:ascii="Arial" w:eastAsia="Calibri" w:hAnsi="Arial" w:cs="Arial"/>
          <w:bCs/>
          <w:sz w:val="20"/>
          <w:szCs w:val="20"/>
        </w:rPr>
        <w:t>странового</w:t>
      </w:r>
      <w:proofErr w:type="spellEnd"/>
      <w:r w:rsidR="00976922">
        <w:rPr>
          <w:rFonts w:ascii="Arial" w:eastAsia="Calibri" w:hAnsi="Arial" w:cs="Arial"/>
          <w:bCs/>
          <w:sz w:val="20"/>
          <w:szCs w:val="20"/>
        </w:rPr>
        <w:t xml:space="preserve"> риска: некоторые страны с оценкой </w:t>
      </w:r>
      <w:r w:rsidR="00976922" w:rsidRPr="00976922">
        <w:rPr>
          <w:rFonts w:ascii="Arial" w:eastAsia="Calibri" w:hAnsi="Arial" w:cs="Arial"/>
          <w:bCs/>
          <w:sz w:val="20"/>
          <w:szCs w:val="20"/>
        </w:rPr>
        <w:t>“</w:t>
      </w:r>
      <w:r w:rsidR="00976922">
        <w:rPr>
          <w:rFonts w:ascii="Arial" w:eastAsia="Calibri" w:hAnsi="Arial" w:cs="Arial"/>
          <w:bCs/>
          <w:sz w:val="20"/>
          <w:szCs w:val="20"/>
          <w:lang w:val="en-US"/>
        </w:rPr>
        <w:t>D</w:t>
      </w:r>
      <w:r w:rsidR="00976922" w:rsidRPr="00976922">
        <w:rPr>
          <w:rFonts w:ascii="Arial" w:eastAsia="Calibri" w:hAnsi="Arial" w:cs="Arial"/>
          <w:bCs/>
          <w:sz w:val="20"/>
          <w:szCs w:val="20"/>
        </w:rPr>
        <w:t>”</w:t>
      </w:r>
      <w:r w:rsidR="00976922">
        <w:rPr>
          <w:rFonts w:ascii="Arial" w:eastAsia="Calibri" w:hAnsi="Arial" w:cs="Arial"/>
          <w:bCs/>
          <w:sz w:val="20"/>
          <w:szCs w:val="20"/>
        </w:rPr>
        <w:t xml:space="preserve"> будут тем самым перемещены в новую категорию </w:t>
      </w:r>
      <w:r w:rsidR="00976922" w:rsidRPr="00976922">
        <w:rPr>
          <w:rFonts w:ascii="Arial" w:eastAsia="Calibri" w:hAnsi="Arial" w:cs="Arial"/>
          <w:bCs/>
          <w:sz w:val="20"/>
          <w:szCs w:val="20"/>
        </w:rPr>
        <w:t>“</w:t>
      </w:r>
      <w:r w:rsidR="00976922">
        <w:rPr>
          <w:rFonts w:ascii="Arial" w:eastAsia="Calibri" w:hAnsi="Arial" w:cs="Arial"/>
          <w:bCs/>
          <w:sz w:val="20"/>
          <w:szCs w:val="20"/>
          <w:lang w:val="en-US"/>
        </w:rPr>
        <w:t>E</w:t>
      </w:r>
      <w:r w:rsidR="00976922" w:rsidRPr="00976922">
        <w:rPr>
          <w:rFonts w:ascii="Arial" w:eastAsia="Calibri" w:hAnsi="Arial" w:cs="Arial"/>
          <w:bCs/>
          <w:sz w:val="20"/>
          <w:szCs w:val="20"/>
        </w:rPr>
        <w:t>”</w:t>
      </w:r>
      <w:r w:rsidR="00976922">
        <w:rPr>
          <w:rFonts w:ascii="Arial" w:eastAsia="Calibri" w:hAnsi="Arial" w:cs="Arial"/>
          <w:bCs/>
          <w:sz w:val="20"/>
          <w:szCs w:val="20"/>
        </w:rPr>
        <w:t xml:space="preserve">, которая станет синонимом крайне высокого уровня кредитного риска. Новая оценка будет присвоена следующим странам: Армении, Афганистану, </w:t>
      </w:r>
      <w:r w:rsidR="006B231F">
        <w:rPr>
          <w:rFonts w:ascii="Arial" w:eastAsia="Calibri" w:hAnsi="Arial" w:cs="Arial"/>
          <w:bCs/>
          <w:sz w:val="20"/>
          <w:szCs w:val="20"/>
        </w:rPr>
        <w:t xml:space="preserve">Венесуэле, Восточному Тимору, Зимбабве, Ирану, Ираку, Йемену, Кубе, Ливии, Сирии, Судану, </w:t>
      </w:r>
      <w:r w:rsidR="00976922">
        <w:rPr>
          <w:rFonts w:ascii="Arial" w:eastAsia="Calibri" w:hAnsi="Arial" w:cs="Arial"/>
          <w:bCs/>
          <w:sz w:val="20"/>
          <w:szCs w:val="20"/>
        </w:rPr>
        <w:t xml:space="preserve">Центральноафриканской Республике, Эритрее. </w:t>
      </w:r>
    </w:p>
    <w:p w:rsidR="00D61BC0" w:rsidRDefault="00D61BC0" w:rsidP="006B231F">
      <w:pPr>
        <w:spacing w:after="200"/>
        <w:jc w:val="both"/>
        <w:rPr>
          <w:rFonts w:ascii="Arial" w:eastAsia="Calibri" w:hAnsi="Arial" w:cs="Arial"/>
          <w:b/>
          <w:bCs/>
          <w:sz w:val="20"/>
          <w:szCs w:val="20"/>
        </w:rPr>
      </w:pPr>
      <w:r>
        <w:rPr>
          <w:rFonts w:ascii="Arial" w:eastAsia="Calibri" w:hAnsi="Arial" w:cs="Arial"/>
          <w:b/>
          <w:bCs/>
          <w:sz w:val="20"/>
          <w:szCs w:val="20"/>
        </w:rPr>
        <w:br w:type="page"/>
      </w:r>
    </w:p>
    <w:p w:rsidR="00A5702C" w:rsidRPr="00974FDB" w:rsidRDefault="00A5702C" w:rsidP="006B231F">
      <w:pPr>
        <w:jc w:val="both"/>
        <w:rPr>
          <w:rFonts w:ascii="Arial" w:eastAsia="Calibri" w:hAnsi="Arial" w:cs="Arial"/>
          <w:b/>
          <w:bCs/>
          <w:sz w:val="20"/>
          <w:szCs w:val="20"/>
        </w:rPr>
      </w:pPr>
      <w:r w:rsidRPr="00974FDB">
        <w:rPr>
          <w:rFonts w:ascii="Arial" w:eastAsia="Calibri" w:hAnsi="Arial" w:cs="Arial"/>
          <w:b/>
          <w:bCs/>
          <w:sz w:val="20"/>
          <w:szCs w:val="20"/>
        </w:rPr>
        <w:lastRenderedPageBreak/>
        <w:t>Контакты для СМИ:</w:t>
      </w:r>
    </w:p>
    <w:p w:rsidR="00A5702C" w:rsidRPr="00974FDB" w:rsidRDefault="00A5702C" w:rsidP="006B231F">
      <w:pPr>
        <w:jc w:val="both"/>
        <w:rPr>
          <w:rFonts w:ascii="Arial" w:eastAsia="Calibri" w:hAnsi="Arial" w:cs="Arial"/>
          <w:sz w:val="20"/>
          <w:szCs w:val="20"/>
        </w:rPr>
      </w:pPr>
      <w:r>
        <w:rPr>
          <w:rFonts w:ascii="Arial" w:eastAsia="Calibri" w:hAnsi="Arial" w:cs="Arial"/>
          <w:sz w:val="20"/>
          <w:szCs w:val="20"/>
        </w:rPr>
        <w:t>Ольга</w:t>
      </w:r>
      <w:r w:rsidR="00463E85">
        <w:rPr>
          <w:rFonts w:ascii="Arial" w:eastAsia="Calibri" w:hAnsi="Arial" w:cs="Arial"/>
          <w:sz w:val="20"/>
          <w:szCs w:val="20"/>
        </w:rPr>
        <w:t xml:space="preserve"> </w:t>
      </w:r>
      <w:r>
        <w:rPr>
          <w:rFonts w:ascii="Arial" w:eastAsia="Calibri" w:hAnsi="Arial" w:cs="Arial"/>
          <w:sz w:val="20"/>
          <w:szCs w:val="20"/>
        </w:rPr>
        <w:t>ОЛЮНИНА</w:t>
      </w:r>
    </w:p>
    <w:p w:rsidR="00A5702C" w:rsidRDefault="00A5702C" w:rsidP="006B231F">
      <w:pPr>
        <w:jc w:val="both"/>
        <w:rPr>
          <w:rFonts w:ascii="Arial" w:eastAsia="Calibri" w:hAnsi="Arial" w:cs="Arial"/>
          <w:color w:val="0000FF"/>
          <w:sz w:val="20"/>
          <w:szCs w:val="20"/>
          <w:u w:val="single"/>
        </w:rPr>
      </w:pPr>
      <w:r w:rsidRPr="00ED2ECF">
        <w:rPr>
          <w:rFonts w:ascii="Arial" w:eastAsia="Calibri" w:hAnsi="Arial" w:cs="Arial"/>
          <w:sz w:val="20"/>
          <w:szCs w:val="20"/>
          <w:lang w:val="en-US"/>
        </w:rPr>
        <w:t>T</w:t>
      </w:r>
      <w:r>
        <w:rPr>
          <w:rFonts w:ascii="Arial" w:eastAsia="Calibri" w:hAnsi="Arial" w:cs="Arial"/>
          <w:sz w:val="20"/>
          <w:szCs w:val="20"/>
        </w:rPr>
        <w:t>ел</w:t>
      </w:r>
      <w:r w:rsidRPr="00ED2ECF">
        <w:rPr>
          <w:rFonts w:ascii="Arial" w:eastAsia="Calibri" w:hAnsi="Arial" w:cs="Arial"/>
          <w:sz w:val="20"/>
          <w:szCs w:val="20"/>
        </w:rPr>
        <w:t>. +</w:t>
      </w:r>
      <w:r>
        <w:rPr>
          <w:rFonts w:ascii="Arial" w:eastAsia="Calibri" w:hAnsi="Arial" w:cs="Arial"/>
          <w:sz w:val="20"/>
          <w:szCs w:val="20"/>
        </w:rPr>
        <w:t>7</w:t>
      </w:r>
      <w:r w:rsidRPr="00ED2ECF">
        <w:rPr>
          <w:rFonts w:ascii="Arial" w:eastAsia="Calibri" w:hAnsi="Arial" w:cs="Arial"/>
          <w:sz w:val="20"/>
          <w:szCs w:val="20"/>
        </w:rPr>
        <w:t xml:space="preserve"> (</w:t>
      </w:r>
      <w:r>
        <w:rPr>
          <w:rFonts w:ascii="Arial" w:eastAsia="Calibri" w:hAnsi="Arial" w:cs="Arial"/>
          <w:sz w:val="20"/>
          <w:szCs w:val="20"/>
        </w:rPr>
        <w:t>495</w:t>
      </w:r>
      <w:r w:rsidRPr="00ED2ECF">
        <w:rPr>
          <w:rFonts w:ascii="Arial" w:eastAsia="Calibri" w:hAnsi="Arial" w:cs="Arial"/>
          <w:sz w:val="20"/>
          <w:szCs w:val="20"/>
        </w:rPr>
        <w:t>)</w:t>
      </w:r>
      <w:r>
        <w:rPr>
          <w:rFonts w:ascii="Arial" w:eastAsia="Calibri" w:hAnsi="Arial" w:cs="Arial"/>
          <w:sz w:val="20"/>
          <w:szCs w:val="20"/>
        </w:rPr>
        <w:t xml:space="preserve"> 78557 15, доб. 101 </w:t>
      </w:r>
    </w:p>
    <w:p w:rsidR="00A5702C" w:rsidRDefault="005B5D88" w:rsidP="006B231F">
      <w:pPr>
        <w:jc w:val="both"/>
      </w:pPr>
      <w:hyperlink r:id="rId10" w:history="1">
        <w:r w:rsidR="00A5702C" w:rsidRPr="00FA650E">
          <w:rPr>
            <w:rStyle w:val="a7"/>
            <w:rFonts w:ascii="Arial" w:hAnsi="Arial" w:cs="Arial"/>
            <w:sz w:val="20"/>
            <w:szCs w:val="20"/>
            <w:lang w:val="en-US"/>
          </w:rPr>
          <w:t>olga</w:t>
        </w:r>
        <w:r w:rsidR="00A5702C" w:rsidRPr="00A5702C">
          <w:rPr>
            <w:rStyle w:val="a7"/>
            <w:rFonts w:ascii="Arial" w:hAnsi="Arial" w:cs="Arial"/>
            <w:sz w:val="20"/>
            <w:szCs w:val="20"/>
            <w:lang w:val="ru-RU"/>
          </w:rPr>
          <w:t>.</w:t>
        </w:r>
        <w:r w:rsidR="00A5702C" w:rsidRPr="00FA650E">
          <w:rPr>
            <w:rStyle w:val="a7"/>
            <w:rFonts w:ascii="Arial" w:hAnsi="Arial" w:cs="Arial"/>
            <w:sz w:val="20"/>
            <w:szCs w:val="20"/>
            <w:lang w:val="en-US"/>
          </w:rPr>
          <w:t>olyunina</w:t>
        </w:r>
        <w:r w:rsidR="00A5702C" w:rsidRPr="00A5702C">
          <w:rPr>
            <w:rStyle w:val="a7"/>
            <w:rFonts w:ascii="Arial" w:hAnsi="Arial" w:cs="Arial"/>
            <w:sz w:val="20"/>
            <w:szCs w:val="20"/>
            <w:lang w:val="ru-RU"/>
          </w:rPr>
          <w:t>@</w:t>
        </w:r>
        <w:r w:rsidR="00A5702C" w:rsidRPr="00FA650E">
          <w:rPr>
            <w:rStyle w:val="a7"/>
            <w:rFonts w:ascii="Arial" w:hAnsi="Arial" w:cs="Arial"/>
            <w:sz w:val="20"/>
            <w:szCs w:val="20"/>
            <w:lang w:val="en-US"/>
          </w:rPr>
          <w:t>coface</w:t>
        </w:r>
        <w:r w:rsidR="00A5702C" w:rsidRPr="00A5702C">
          <w:rPr>
            <w:rStyle w:val="a7"/>
            <w:rFonts w:ascii="Arial" w:hAnsi="Arial" w:cs="Arial"/>
            <w:sz w:val="20"/>
            <w:szCs w:val="20"/>
            <w:lang w:val="ru-RU"/>
          </w:rPr>
          <w:t>.</w:t>
        </w:r>
        <w:r w:rsidR="00A5702C" w:rsidRPr="00FA650E">
          <w:rPr>
            <w:rStyle w:val="a7"/>
            <w:rFonts w:ascii="Arial" w:hAnsi="Arial" w:cs="Arial"/>
            <w:sz w:val="20"/>
            <w:szCs w:val="20"/>
            <w:lang w:val="en-US"/>
          </w:rPr>
          <w:t>com</w:t>
        </w:r>
      </w:hyperlink>
    </w:p>
    <w:p w:rsidR="006E606C" w:rsidRDefault="006E606C" w:rsidP="006B231F">
      <w:pPr>
        <w:jc w:val="both"/>
      </w:pPr>
    </w:p>
    <w:p w:rsidR="00A5702C" w:rsidRPr="00C7451D" w:rsidRDefault="00F22E26" w:rsidP="006B231F">
      <w:pPr>
        <w:autoSpaceDE w:val="0"/>
        <w:autoSpaceDN w:val="0"/>
        <w:adjustRightInd w:val="0"/>
        <w:spacing w:line="270" w:lineRule="exact"/>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00DDE0A0" wp14:editId="5AFF1A6A">
                <wp:simplePos x="0" y="0"/>
                <wp:positionH relativeFrom="column">
                  <wp:posOffset>-53340</wp:posOffset>
                </wp:positionH>
                <wp:positionV relativeFrom="paragraph">
                  <wp:posOffset>145669</wp:posOffset>
                </wp:positionV>
                <wp:extent cx="6210300" cy="32258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225800"/>
                        </a:xfrm>
                        <a:prstGeom prst="rect">
                          <a:avLst/>
                        </a:prstGeom>
                        <a:solidFill>
                          <a:srgbClr val="365F91">
                            <a:alpha val="14999"/>
                          </a:srgbClr>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4.2pt;margin-top:11.45pt;width:489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" fillcolor="#365f91" stroked="f" strokeweight="2pt">
                <v:fill opacity="9766f"/>
              </v:rect>
            </w:pict>
          </mc:Fallback>
        </mc:AlternateContent>
      </w:r>
    </w:p>
    <w:p w:rsidR="00A5702C" w:rsidRPr="00974FDB" w:rsidRDefault="00A5702C" w:rsidP="006B231F">
      <w:pPr>
        <w:jc w:val="both"/>
        <w:rPr>
          <w:rFonts w:ascii="Arial" w:hAnsi="Arial" w:cs="Arial"/>
          <w:b/>
          <w:sz w:val="20"/>
          <w:szCs w:val="20"/>
        </w:rPr>
      </w:pPr>
      <w:r w:rsidRPr="00974FDB">
        <w:rPr>
          <w:rFonts w:ascii="Arial" w:hAnsi="Arial" w:cs="Arial"/>
          <w:b/>
          <w:sz w:val="20"/>
          <w:szCs w:val="20"/>
        </w:rPr>
        <w:t xml:space="preserve">О Группе </w:t>
      </w:r>
      <w:proofErr w:type="spellStart"/>
      <w:r w:rsidRPr="00974FDB">
        <w:rPr>
          <w:rFonts w:ascii="Arial" w:hAnsi="Arial" w:cs="Arial"/>
          <w:b/>
          <w:sz w:val="20"/>
          <w:szCs w:val="20"/>
          <w:lang w:val="en-US"/>
        </w:rPr>
        <w:t>Coface</w:t>
      </w:r>
      <w:proofErr w:type="spellEnd"/>
    </w:p>
    <w:p w:rsidR="00A5702C" w:rsidRPr="00974FDB" w:rsidRDefault="00A5702C" w:rsidP="006B231F">
      <w:pPr>
        <w:jc w:val="both"/>
        <w:rPr>
          <w:rFonts w:ascii="Arial" w:hAnsi="Arial" w:cs="Arial"/>
          <w:sz w:val="20"/>
          <w:szCs w:val="20"/>
        </w:rPr>
      </w:pPr>
    </w:p>
    <w:p w:rsidR="003E4A01" w:rsidRPr="003E4A01" w:rsidRDefault="003E4A01" w:rsidP="006B231F">
      <w:pPr>
        <w:jc w:val="both"/>
        <w:rPr>
          <w:rFonts w:ascii="Arial" w:hAnsi="Arial" w:cs="Arial"/>
          <w:sz w:val="20"/>
          <w:szCs w:val="20"/>
        </w:rPr>
      </w:pPr>
    </w:p>
    <w:p w:rsidR="00A5702C" w:rsidRDefault="00F22E26" w:rsidP="006B231F">
      <w:pPr>
        <w:jc w:val="both"/>
        <w:rPr>
          <w:rFonts w:ascii="Arial" w:hAnsi="Arial" w:cs="Arial"/>
          <w:noProof/>
          <w:sz w:val="20"/>
          <w:szCs w:val="20"/>
          <w:lang w:eastAsia="ru-RU"/>
        </w:rPr>
      </w:pPr>
      <w:r w:rsidRPr="00F22E26">
        <w:t xml:space="preserve"> </w:t>
      </w:r>
      <w:r w:rsidRPr="00F22E26">
        <w:rPr>
          <w:rFonts w:ascii="Arial" w:hAnsi="Arial" w:cs="Arial"/>
          <w:noProof/>
          <w:sz w:val="20"/>
          <w:szCs w:val="20"/>
          <w:lang w:eastAsia="ru-RU"/>
        </w:rPr>
        <w:t>Группа компаний Coface является мировым лидером в области страхования торговых кредитов. Coface предлагает компаниям защиту от риска неплатежей как на внутреннем рынке, так и при осуществлении экспортных операций. В Группе работают 4 500 сотрудников, в 2015 году ее консоли</w:t>
      </w:r>
      <w:r>
        <w:rPr>
          <w:rFonts w:ascii="Arial" w:hAnsi="Arial" w:cs="Arial"/>
          <w:noProof/>
          <w:sz w:val="20"/>
          <w:szCs w:val="20"/>
          <w:lang w:eastAsia="ru-RU"/>
        </w:rPr>
        <w:t>дированный оборот составил 1,49</w:t>
      </w:r>
      <w:r w:rsidRPr="00F22E26">
        <w:rPr>
          <w:rFonts w:ascii="Arial" w:hAnsi="Arial" w:cs="Arial"/>
          <w:noProof/>
          <w:sz w:val="20"/>
          <w:szCs w:val="20"/>
          <w:lang w:eastAsia="ru-RU"/>
        </w:rPr>
        <w:t xml:space="preserve"> млрд. евро. Компании Группы Coface или ее партнеры присутствуют в 100 странах. Они помогают 40 тысячам компаний из более чем 200 стран принимать верные решения при осуществлении торговых операций. Ежеквартально Coface публикует оценки риска для 160 стран. Эти оценки формируются на основании имеющейся у Coface уникальной информации о платежной дисциплине в корпоративном секторе и профессиональных знаний и опыта 660 андеррайтеров и кредитных аналитиков, которые работают непосредственно в тех странах, где находятся клиенты Coface и их покупатели.</w:t>
      </w:r>
    </w:p>
    <w:p w:rsidR="00F22E26" w:rsidRPr="00F22E26" w:rsidRDefault="00F22E26" w:rsidP="006B231F">
      <w:pPr>
        <w:jc w:val="both"/>
        <w:rPr>
          <w:rFonts w:ascii="Arial" w:hAnsi="Arial" w:cs="Arial"/>
          <w:sz w:val="20"/>
          <w:szCs w:val="20"/>
        </w:rPr>
      </w:pPr>
      <w:r>
        <w:rPr>
          <w:rFonts w:ascii="Arial" w:hAnsi="Arial" w:cs="Arial"/>
          <w:noProof/>
          <w:sz w:val="20"/>
          <w:szCs w:val="20"/>
          <w:lang w:eastAsia="ru-RU"/>
        </w:rPr>
        <w:t xml:space="preserve">Во Франции </w:t>
      </w:r>
      <w:r>
        <w:rPr>
          <w:rFonts w:ascii="Arial" w:hAnsi="Arial" w:cs="Arial"/>
          <w:noProof/>
          <w:sz w:val="20"/>
          <w:szCs w:val="20"/>
          <w:lang w:val="en-US" w:eastAsia="ru-RU"/>
        </w:rPr>
        <w:t>Coface</w:t>
      </w:r>
      <w:r w:rsidRPr="00F22E26">
        <w:rPr>
          <w:rFonts w:ascii="Arial" w:hAnsi="Arial" w:cs="Arial"/>
          <w:noProof/>
          <w:sz w:val="20"/>
          <w:szCs w:val="20"/>
          <w:lang w:eastAsia="ru-RU"/>
        </w:rPr>
        <w:t xml:space="preserve"> </w:t>
      </w:r>
      <w:r>
        <w:rPr>
          <w:rFonts w:ascii="Arial" w:hAnsi="Arial" w:cs="Arial"/>
          <w:noProof/>
          <w:sz w:val="20"/>
          <w:szCs w:val="20"/>
          <w:lang w:eastAsia="ru-RU"/>
        </w:rPr>
        <w:t>предоставляет экспортные гарантии от имени французского государства.</w:t>
      </w:r>
    </w:p>
    <w:p w:rsidR="00A5702C" w:rsidRPr="00974FDB" w:rsidRDefault="005B5D88" w:rsidP="00F22E26">
      <w:pPr>
        <w:jc w:val="center"/>
        <w:rPr>
          <w:rFonts w:ascii="Arial" w:hAnsi="Arial" w:cs="Arial"/>
          <w:sz w:val="20"/>
          <w:szCs w:val="20"/>
        </w:rPr>
      </w:pPr>
      <w:hyperlink r:id="rId11" w:history="1">
        <w:r w:rsidR="00A5702C" w:rsidRPr="00974FDB">
          <w:rPr>
            <w:rStyle w:val="a7"/>
            <w:rFonts w:ascii="Arial" w:hAnsi="Arial" w:cs="Arial"/>
            <w:sz w:val="20"/>
            <w:szCs w:val="20"/>
          </w:rPr>
          <w:t>www</w:t>
        </w:r>
        <w:r w:rsidR="00A5702C" w:rsidRPr="00A5702C">
          <w:rPr>
            <w:rStyle w:val="a7"/>
            <w:rFonts w:ascii="Arial" w:hAnsi="Arial" w:cs="Arial"/>
            <w:sz w:val="20"/>
            <w:szCs w:val="20"/>
            <w:lang w:val="ru-RU"/>
          </w:rPr>
          <w:t>.</w:t>
        </w:r>
        <w:proofErr w:type="spellStart"/>
        <w:r w:rsidR="00A5702C" w:rsidRPr="00974FDB">
          <w:rPr>
            <w:rStyle w:val="a7"/>
            <w:rFonts w:ascii="Arial" w:hAnsi="Arial" w:cs="Arial"/>
            <w:sz w:val="20"/>
            <w:szCs w:val="20"/>
          </w:rPr>
          <w:t>coface</w:t>
        </w:r>
        <w:proofErr w:type="spellEnd"/>
        <w:r w:rsidR="00A5702C" w:rsidRPr="00A5702C">
          <w:rPr>
            <w:rStyle w:val="a7"/>
            <w:rFonts w:ascii="Arial" w:hAnsi="Arial" w:cs="Arial"/>
            <w:sz w:val="20"/>
            <w:szCs w:val="20"/>
            <w:lang w:val="ru-RU"/>
          </w:rPr>
          <w:t>.</w:t>
        </w:r>
        <w:r w:rsidR="00A5702C" w:rsidRPr="00974FDB">
          <w:rPr>
            <w:rStyle w:val="a7"/>
            <w:rFonts w:ascii="Arial" w:hAnsi="Arial" w:cs="Arial"/>
            <w:sz w:val="20"/>
            <w:szCs w:val="20"/>
          </w:rPr>
          <w:t>com</w:t>
        </w:r>
      </w:hyperlink>
    </w:p>
    <w:p w:rsidR="00A5702C" w:rsidRPr="00974FDB" w:rsidRDefault="00A5702C" w:rsidP="00F22E26">
      <w:pPr>
        <w:jc w:val="center"/>
        <w:rPr>
          <w:rFonts w:ascii="Arial" w:hAnsi="Arial" w:cs="Arial"/>
          <w:sz w:val="20"/>
          <w:szCs w:val="20"/>
        </w:rPr>
      </w:pPr>
      <w:r>
        <w:rPr>
          <w:rFonts w:ascii="Arial" w:hAnsi="Arial" w:cs="Arial"/>
          <w:noProof/>
          <w:sz w:val="20"/>
          <w:szCs w:val="20"/>
          <w:lang w:eastAsia="ru-RU"/>
        </w:rPr>
        <w:drawing>
          <wp:anchor distT="0" distB="0" distL="114300" distR="114300" simplePos="0" relativeHeight="251659264" behindDoc="0" locked="0" layoutInCell="1" allowOverlap="1" wp14:anchorId="16CDBDEB" wp14:editId="6DFB95CB">
            <wp:simplePos x="0" y="0"/>
            <wp:positionH relativeFrom="column">
              <wp:posOffset>5394325</wp:posOffset>
            </wp:positionH>
            <wp:positionV relativeFrom="paragraph">
              <wp:posOffset>92710</wp:posOffset>
            </wp:positionV>
            <wp:extent cx="519430" cy="514350"/>
            <wp:effectExtent l="0" t="0" r="0" b="0"/>
            <wp:wrapNone/>
            <wp:docPr id="12" name="Рисунок 12"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FA-listed-emblems_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pic:spPr>
                </pic:pic>
              </a:graphicData>
            </a:graphic>
          </wp:anchor>
        </w:drawing>
      </w:r>
      <w:hyperlink r:id="rId13" w:history="1">
        <w:r w:rsidRPr="00974FDB">
          <w:rPr>
            <w:rStyle w:val="a7"/>
            <w:rFonts w:ascii="Arial" w:hAnsi="Arial" w:cs="Arial"/>
            <w:sz w:val="20"/>
            <w:szCs w:val="20"/>
          </w:rPr>
          <w:t>www</w:t>
        </w:r>
        <w:r w:rsidRPr="00A5702C">
          <w:rPr>
            <w:rStyle w:val="a7"/>
            <w:rFonts w:ascii="Arial" w:hAnsi="Arial" w:cs="Arial"/>
            <w:sz w:val="20"/>
            <w:szCs w:val="20"/>
            <w:lang w:val="ru-RU"/>
          </w:rPr>
          <w:t>.</w:t>
        </w:r>
        <w:proofErr w:type="spellStart"/>
        <w:r w:rsidRPr="00974FDB">
          <w:rPr>
            <w:rStyle w:val="a7"/>
            <w:rFonts w:ascii="Arial" w:hAnsi="Arial" w:cs="Arial"/>
            <w:sz w:val="20"/>
            <w:szCs w:val="20"/>
          </w:rPr>
          <w:t>coface</w:t>
        </w:r>
        <w:proofErr w:type="spellEnd"/>
        <w:r w:rsidRPr="00A5702C">
          <w:rPr>
            <w:rStyle w:val="a7"/>
            <w:rFonts w:ascii="Arial" w:hAnsi="Arial" w:cs="Arial"/>
            <w:sz w:val="20"/>
            <w:szCs w:val="20"/>
            <w:lang w:val="ru-RU"/>
          </w:rPr>
          <w:t>.</w:t>
        </w:r>
        <w:proofErr w:type="spellStart"/>
        <w:r w:rsidRPr="00974FDB">
          <w:rPr>
            <w:rStyle w:val="a7"/>
            <w:rFonts w:ascii="Arial" w:hAnsi="Arial" w:cs="Arial"/>
            <w:sz w:val="20"/>
            <w:szCs w:val="20"/>
          </w:rPr>
          <w:t>ru</w:t>
        </w:r>
        <w:proofErr w:type="spellEnd"/>
      </w:hyperlink>
    </w:p>
    <w:p w:rsidR="00A5702C" w:rsidRPr="00974FDB" w:rsidRDefault="00A5702C" w:rsidP="006B231F">
      <w:pPr>
        <w:jc w:val="both"/>
        <w:rPr>
          <w:rFonts w:ascii="Arial" w:hAnsi="Arial" w:cs="Arial"/>
          <w:sz w:val="20"/>
          <w:szCs w:val="20"/>
        </w:rPr>
      </w:pPr>
    </w:p>
    <w:p w:rsidR="00A5702C" w:rsidRPr="00974FDB" w:rsidRDefault="00A5702C" w:rsidP="006B231F">
      <w:pPr>
        <w:jc w:val="both"/>
        <w:rPr>
          <w:rFonts w:ascii="Arial" w:hAnsi="Arial" w:cs="Arial"/>
          <w:sz w:val="20"/>
          <w:szCs w:val="20"/>
        </w:rPr>
      </w:pPr>
      <w:r w:rsidRPr="00974FDB">
        <w:rPr>
          <w:rFonts w:ascii="Arial" w:hAnsi="Arial" w:cs="Arial"/>
          <w:sz w:val="20"/>
          <w:szCs w:val="20"/>
        </w:rPr>
        <w:t xml:space="preserve">Акции </w:t>
      </w:r>
      <w:proofErr w:type="spellStart"/>
      <w:r w:rsidRPr="00974FDB">
        <w:rPr>
          <w:rFonts w:ascii="Arial" w:hAnsi="Arial" w:cs="Arial"/>
          <w:sz w:val="20"/>
          <w:szCs w:val="20"/>
          <w:lang w:val="en-US"/>
        </w:rPr>
        <w:t>Coface</w:t>
      </w:r>
      <w:proofErr w:type="spellEnd"/>
      <w:r w:rsidR="009A30C1">
        <w:rPr>
          <w:rFonts w:ascii="Arial" w:hAnsi="Arial" w:cs="Arial"/>
          <w:sz w:val="20"/>
          <w:szCs w:val="20"/>
        </w:rPr>
        <w:t xml:space="preserve"> </w:t>
      </w:r>
      <w:r w:rsidRPr="00974FDB">
        <w:rPr>
          <w:rFonts w:ascii="Arial" w:hAnsi="Arial" w:cs="Arial"/>
          <w:sz w:val="20"/>
          <w:szCs w:val="20"/>
          <w:lang w:val="en-US"/>
        </w:rPr>
        <w:t>SA</w:t>
      </w:r>
      <w:r w:rsidRPr="00974FDB">
        <w:rPr>
          <w:rFonts w:ascii="Arial" w:hAnsi="Arial" w:cs="Arial"/>
          <w:sz w:val="20"/>
          <w:szCs w:val="20"/>
        </w:rPr>
        <w:t xml:space="preserve"> котируются на парижской площадке биржи </w:t>
      </w:r>
      <w:r w:rsidRPr="00974FDB">
        <w:rPr>
          <w:rFonts w:ascii="Arial" w:hAnsi="Arial" w:cs="Arial"/>
          <w:sz w:val="20"/>
          <w:szCs w:val="20"/>
          <w:lang w:val="en-US"/>
        </w:rPr>
        <w:t>Euronext</w:t>
      </w:r>
      <w:r w:rsidRPr="00974FDB">
        <w:rPr>
          <w:rFonts w:ascii="Arial" w:hAnsi="Arial" w:cs="Arial"/>
          <w:sz w:val="20"/>
          <w:szCs w:val="20"/>
        </w:rPr>
        <w:t>, в секторе А.</w:t>
      </w:r>
    </w:p>
    <w:p w:rsidR="00A5702C" w:rsidRPr="00974FDB" w:rsidRDefault="00A5702C" w:rsidP="006B231F">
      <w:pPr>
        <w:jc w:val="both"/>
        <w:rPr>
          <w:rFonts w:ascii="Arial" w:hAnsi="Arial" w:cs="Arial"/>
          <w:sz w:val="20"/>
          <w:szCs w:val="20"/>
        </w:rPr>
      </w:pPr>
      <w:r w:rsidRPr="00974FDB">
        <w:rPr>
          <w:rFonts w:ascii="Arial" w:hAnsi="Arial" w:cs="Arial"/>
          <w:sz w:val="20"/>
          <w:szCs w:val="20"/>
        </w:rPr>
        <w:t xml:space="preserve">Код </w:t>
      </w:r>
      <w:r w:rsidRPr="00974FDB">
        <w:rPr>
          <w:rFonts w:ascii="Arial" w:hAnsi="Arial" w:cs="Arial"/>
          <w:sz w:val="20"/>
          <w:szCs w:val="20"/>
          <w:lang w:val="en-US"/>
        </w:rPr>
        <w:t>ISIN</w:t>
      </w:r>
      <w:r w:rsidR="009A30C1">
        <w:rPr>
          <w:rFonts w:ascii="Arial" w:hAnsi="Arial" w:cs="Arial"/>
          <w:sz w:val="20"/>
          <w:szCs w:val="20"/>
        </w:rPr>
        <w:t>:</w:t>
      </w:r>
      <w:r w:rsidRPr="00974FDB">
        <w:rPr>
          <w:rFonts w:ascii="Arial" w:hAnsi="Arial" w:cs="Arial"/>
          <w:sz w:val="20"/>
          <w:szCs w:val="20"/>
        </w:rPr>
        <w:t xml:space="preserve"> </w:t>
      </w:r>
      <w:r w:rsidRPr="00974FDB">
        <w:rPr>
          <w:rFonts w:ascii="Arial" w:hAnsi="Arial" w:cs="Arial"/>
          <w:sz w:val="20"/>
          <w:szCs w:val="20"/>
          <w:lang w:val="en-US"/>
        </w:rPr>
        <w:t>FR</w:t>
      </w:r>
      <w:r w:rsidRPr="00974FDB">
        <w:rPr>
          <w:rFonts w:ascii="Arial" w:hAnsi="Arial" w:cs="Arial"/>
          <w:sz w:val="20"/>
          <w:szCs w:val="20"/>
        </w:rPr>
        <w:t xml:space="preserve">0010667147 / </w:t>
      </w:r>
      <w:proofErr w:type="spellStart"/>
      <w:r w:rsidRPr="00974FDB">
        <w:rPr>
          <w:rFonts w:ascii="Arial" w:hAnsi="Arial" w:cs="Arial"/>
          <w:sz w:val="20"/>
          <w:szCs w:val="20"/>
        </w:rPr>
        <w:t>Тикер</w:t>
      </w:r>
      <w:proofErr w:type="spellEnd"/>
      <w:r w:rsidRPr="00974FDB">
        <w:rPr>
          <w:rFonts w:ascii="Arial" w:hAnsi="Arial" w:cs="Arial"/>
          <w:sz w:val="20"/>
          <w:szCs w:val="20"/>
        </w:rPr>
        <w:t xml:space="preserve">: </w:t>
      </w:r>
      <w:r w:rsidRPr="00974FDB">
        <w:rPr>
          <w:rFonts w:ascii="Arial" w:hAnsi="Arial" w:cs="Arial"/>
          <w:sz w:val="20"/>
          <w:szCs w:val="20"/>
          <w:lang w:val="en-US"/>
        </w:rPr>
        <w:t>COFA</w:t>
      </w:r>
    </w:p>
    <w:p w:rsidR="00A5702C" w:rsidRDefault="00A5702C" w:rsidP="006B231F">
      <w:pPr>
        <w:jc w:val="both"/>
      </w:pPr>
    </w:p>
    <w:sectPr w:rsidR="00A5702C" w:rsidSect="005905F4">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88" w:rsidRDefault="005B5D88" w:rsidP="00A5702C">
      <w:pPr>
        <w:spacing w:line="240" w:lineRule="auto"/>
      </w:pPr>
      <w:r>
        <w:separator/>
      </w:r>
    </w:p>
  </w:endnote>
  <w:endnote w:type="continuationSeparator" w:id="0">
    <w:p w:rsidR="005B5D88" w:rsidRDefault="005B5D88" w:rsidP="00A57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609748"/>
      <w:docPartObj>
        <w:docPartGallery w:val="Page Numbers (Bottom of Page)"/>
        <w:docPartUnique/>
      </w:docPartObj>
    </w:sdtPr>
    <w:sdtEndPr/>
    <w:sdtContent>
      <w:p w:rsidR="00A5702C" w:rsidRDefault="009132C9">
        <w:pPr>
          <w:pStyle w:val="a5"/>
          <w:jc w:val="right"/>
        </w:pPr>
        <w:r>
          <w:fldChar w:fldCharType="begin"/>
        </w:r>
        <w:r w:rsidR="00A5702C">
          <w:instrText>PAGE   \* MERGEFORMAT</w:instrText>
        </w:r>
        <w:r>
          <w:fldChar w:fldCharType="separate"/>
        </w:r>
        <w:r w:rsidR="0070429E">
          <w:rPr>
            <w:noProof/>
          </w:rPr>
          <w:t>1</w:t>
        </w:r>
        <w:r>
          <w:fldChar w:fldCharType="end"/>
        </w:r>
      </w:p>
    </w:sdtContent>
  </w:sdt>
  <w:p w:rsidR="00A5702C" w:rsidRDefault="00A570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88" w:rsidRDefault="005B5D88" w:rsidP="00A5702C">
      <w:pPr>
        <w:spacing w:line="240" w:lineRule="auto"/>
      </w:pPr>
      <w:r>
        <w:separator/>
      </w:r>
    </w:p>
  </w:footnote>
  <w:footnote w:type="continuationSeparator" w:id="0">
    <w:p w:rsidR="005B5D88" w:rsidRDefault="005B5D88" w:rsidP="00A5702C">
      <w:pPr>
        <w:spacing w:line="240" w:lineRule="auto"/>
      </w:pPr>
      <w:r>
        <w:continuationSeparator/>
      </w:r>
    </w:p>
  </w:footnote>
  <w:footnote w:id="1">
    <w:p w:rsidR="00040A60" w:rsidRPr="00A45140" w:rsidRDefault="00040A60">
      <w:pPr>
        <w:pStyle w:val="af0"/>
      </w:pPr>
      <w:r>
        <w:rPr>
          <w:rStyle w:val="af2"/>
        </w:rPr>
        <w:footnoteRef/>
      </w:r>
      <w:r>
        <w:t xml:space="preserve"> Подготавливаемые </w:t>
      </w:r>
      <w:proofErr w:type="spellStart"/>
      <w:r>
        <w:rPr>
          <w:lang w:val="en-US"/>
        </w:rPr>
        <w:t>Coface</w:t>
      </w:r>
      <w:proofErr w:type="spellEnd"/>
      <w:r w:rsidRPr="00040A60">
        <w:t xml:space="preserve"> </w:t>
      </w:r>
      <w:r>
        <w:t xml:space="preserve">оценки </w:t>
      </w:r>
      <w:proofErr w:type="spellStart"/>
      <w:r>
        <w:t>странового</w:t>
      </w:r>
      <w:proofErr w:type="spellEnd"/>
      <w:r>
        <w:t xml:space="preserve"> риска отражают средний кредитный риск компаний в стране по </w:t>
      </w:r>
      <w:proofErr w:type="spellStart"/>
      <w:r w:rsidR="00A45140">
        <w:t>восьмибалльной</w:t>
      </w:r>
      <w:proofErr w:type="spellEnd"/>
      <w:r w:rsidR="00A45140">
        <w:t xml:space="preserve"> шкале: А1 (минимальный риск), А2, А3, А4, </w:t>
      </w:r>
      <w:r w:rsidR="00A45140">
        <w:rPr>
          <w:lang w:val="en-US"/>
        </w:rPr>
        <w:t>B</w:t>
      </w:r>
      <w:r w:rsidR="00A45140">
        <w:t xml:space="preserve">, C, D, E (максимальный риск).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85" w:rsidRDefault="00463E85" w:rsidP="006E606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5EBA"/>
    <w:multiLevelType w:val="hybridMultilevel"/>
    <w:tmpl w:val="C028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680751"/>
    <w:multiLevelType w:val="hybridMultilevel"/>
    <w:tmpl w:val="AC803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B12EBE"/>
    <w:multiLevelType w:val="hybridMultilevel"/>
    <w:tmpl w:val="CE66A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59"/>
    <w:rsid w:val="0000692E"/>
    <w:rsid w:val="00013DDF"/>
    <w:rsid w:val="00016EAB"/>
    <w:rsid w:val="0003329B"/>
    <w:rsid w:val="00040A60"/>
    <w:rsid w:val="000511C4"/>
    <w:rsid w:val="000720D8"/>
    <w:rsid w:val="000C4E97"/>
    <w:rsid w:val="000C6D1D"/>
    <w:rsid w:val="000D2CA6"/>
    <w:rsid w:val="000E2A60"/>
    <w:rsid w:val="000F3FC7"/>
    <w:rsid w:val="00163EAE"/>
    <w:rsid w:val="001665BD"/>
    <w:rsid w:val="001844F1"/>
    <w:rsid w:val="001B3742"/>
    <w:rsid w:val="001D7244"/>
    <w:rsid w:val="00265F66"/>
    <w:rsid w:val="002943C8"/>
    <w:rsid w:val="002B7BC9"/>
    <w:rsid w:val="002C0DE5"/>
    <w:rsid w:val="002C2CFD"/>
    <w:rsid w:val="002F6819"/>
    <w:rsid w:val="00372C86"/>
    <w:rsid w:val="00385E41"/>
    <w:rsid w:val="003A2CBD"/>
    <w:rsid w:val="003B440F"/>
    <w:rsid w:val="003D6255"/>
    <w:rsid w:val="003E4A01"/>
    <w:rsid w:val="004058C6"/>
    <w:rsid w:val="004449D0"/>
    <w:rsid w:val="00446A41"/>
    <w:rsid w:val="00463E85"/>
    <w:rsid w:val="004C4372"/>
    <w:rsid w:val="0053270B"/>
    <w:rsid w:val="00536E33"/>
    <w:rsid w:val="00555756"/>
    <w:rsid w:val="005663B0"/>
    <w:rsid w:val="005905F4"/>
    <w:rsid w:val="005B5D88"/>
    <w:rsid w:val="005B6AC4"/>
    <w:rsid w:val="005B7ECF"/>
    <w:rsid w:val="005C665D"/>
    <w:rsid w:val="005D274A"/>
    <w:rsid w:val="00601F5F"/>
    <w:rsid w:val="0060472E"/>
    <w:rsid w:val="00675CCD"/>
    <w:rsid w:val="006962F3"/>
    <w:rsid w:val="006B231F"/>
    <w:rsid w:val="006C1F17"/>
    <w:rsid w:val="006D1989"/>
    <w:rsid w:val="006D6B27"/>
    <w:rsid w:val="006E606C"/>
    <w:rsid w:val="0070429E"/>
    <w:rsid w:val="00724753"/>
    <w:rsid w:val="00737F0C"/>
    <w:rsid w:val="00742E31"/>
    <w:rsid w:val="007524F2"/>
    <w:rsid w:val="00765EBD"/>
    <w:rsid w:val="007A4477"/>
    <w:rsid w:val="007B575A"/>
    <w:rsid w:val="007C073D"/>
    <w:rsid w:val="007C188F"/>
    <w:rsid w:val="007C61C3"/>
    <w:rsid w:val="00812B32"/>
    <w:rsid w:val="008211B7"/>
    <w:rsid w:val="00840459"/>
    <w:rsid w:val="0085731C"/>
    <w:rsid w:val="0087080C"/>
    <w:rsid w:val="008C3C12"/>
    <w:rsid w:val="008F43E3"/>
    <w:rsid w:val="009132C9"/>
    <w:rsid w:val="009409AF"/>
    <w:rsid w:val="009575A3"/>
    <w:rsid w:val="0096554E"/>
    <w:rsid w:val="00976922"/>
    <w:rsid w:val="00982E83"/>
    <w:rsid w:val="009A30C1"/>
    <w:rsid w:val="009B7868"/>
    <w:rsid w:val="009D677A"/>
    <w:rsid w:val="00A45140"/>
    <w:rsid w:val="00A462DC"/>
    <w:rsid w:val="00A5702C"/>
    <w:rsid w:val="00A72650"/>
    <w:rsid w:val="00A81589"/>
    <w:rsid w:val="00AA7C7F"/>
    <w:rsid w:val="00B1161E"/>
    <w:rsid w:val="00B54BF6"/>
    <w:rsid w:val="00B75D8F"/>
    <w:rsid w:val="00B97D63"/>
    <w:rsid w:val="00BC27E1"/>
    <w:rsid w:val="00BE6297"/>
    <w:rsid w:val="00BF57A2"/>
    <w:rsid w:val="00C31FC0"/>
    <w:rsid w:val="00C54FF1"/>
    <w:rsid w:val="00C9787E"/>
    <w:rsid w:val="00CB7E96"/>
    <w:rsid w:val="00CD4FA1"/>
    <w:rsid w:val="00CD61D9"/>
    <w:rsid w:val="00CF0CA0"/>
    <w:rsid w:val="00D1699F"/>
    <w:rsid w:val="00D212C4"/>
    <w:rsid w:val="00D22F01"/>
    <w:rsid w:val="00D61BC0"/>
    <w:rsid w:val="00D62B86"/>
    <w:rsid w:val="00D71C89"/>
    <w:rsid w:val="00D8033E"/>
    <w:rsid w:val="00DA4CDF"/>
    <w:rsid w:val="00DB5FD6"/>
    <w:rsid w:val="00E11FA1"/>
    <w:rsid w:val="00E45977"/>
    <w:rsid w:val="00E57B45"/>
    <w:rsid w:val="00E943D5"/>
    <w:rsid w:val="00E967C6"/>
    <w:rsid w:val="00EB3257"/>
    <w:rsid w:val="00EF1223"/>
    <w:rsid w:val="00F01409"/>
    <w:rsid w:val="00F22E26"/>
    <w:rsid w:val="00F47754"/>
    <w:rsid w:val="00F5257B"/>
    <w:rsid w:val="00FD69CB"/>
    <w:rsid w:val="00FF369C"/>
    <w:rsid w:val="00FF5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89"/>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02C"/>
    <w:pPr>
      <w:tabs>
        <w:tab w:val="center" w:pos="4677"/>
        <w:tab w:val="right" w:pos="9355"/>
      </w:tabs>
      <w:spacing w:line="240" w:lineRule="auto"/>
    </w:pPr>
  </w:style>
  <w:style w:type="character" w:customStyle="1" w:styleId="a4">
    <w:name w:val="Верхний колонтитул Знак"/>
    <w:basedOn w:val="a0"/>
    <w:link w:val="a3"/>
    <w:uiPriority w:val="99"/>
    <w:rsid w:val="00A5702C"/>
    <w:rPr>
      <w:rFonts w:ascii="Times New Roman" w:hAnsi="Times New Roman"/>
      <w:sz w:val="24"/>
    </w:rPr>
  </w:style>
  <w:style w:type="paragraph" w:styleId="a5">
    <w:name w:val="footer"/>
    <w:basedOn w:val="a"/>
    <w:link w:val="a6"/>
    <w:uiPriority w:val="99"/>
    <w:unhideWhenUsed/>
    <w:rsid w:val="00A5702C"/>
    <w:pPr>
      <w:tabs>
        <w:tab w:val="center" w:pos="4677"/>
        <w:tab w:val="right" w:pos="9355"/>
      </w:tabs>
      <w:spacing w:line="240" w:lineRule="auto"/>
    </w:pPr>
  </w:style>
  <w:style w:type="character" w:customStyle="1" w:styleId="a6">
    <w:name w:val="Нижний колонтитул Знак"/>
    <w:basedOn w:val="a0"/>
    <w:link w:val="a5"/>
    <w:uiPriority w:val="99"/>
    <w:rsid w:val="00A5702C"/>
    <w:rPr>
      <w:rFonts w:ascii="Times New Roman" w:hAnsi="Times New Roman"/>
      <w:sz w:val="24"/>
    </w:rPr>
  </w:style>
  <w:style w:type="character" w:styleId="a7">
    <w:name w:val="Hyperlink"/>
    <w:uiPriority w:val="99"/>
    <w:rsid w:val="00A5702C"/>
    <w:rPr>
      <w:rFonts w:cs="Times New Roman"/>
      <w:color w:val="0000FF"/>
      <w:u w:val="single"/>
      <w:lang w:val="en-GB" w:eastAsia="en-GB"/>
    </w:rPr>
  </w:style>
  <w:style w:type="paragraph" w:styleId="a8">
    <w:name w:val="Balloon Text"/>
    <w:basedOn w:val="a"/>
    <w:link w:val="a9"/>
    <w:uiPriority w:val="99"/>
    <w:semiHidden/>
    <w:unhideWhenUsed/>
    <w:rsid w:val="00463E8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3E85"/>
    <w:rPr>
      <w:rFonts w:ascii="Tahoma" w:hAnsi="Tahoma" w:cs="Tahoma"/>
      <w:sz w:val="16"/>
      <w:szCs w:val="16"/>
    </w:rPr>
  </w:style>
  <w:style w:type="character" w:styleId="aa">
    <w:name w:val="annotation reference"/>
    <w:basedOn w:val="a0"/>
    <w:uiPriority w:val="99"/>
    <w:semiHidden/>
    <w:unhideWhenUsed/>
    <w:rsid w:val="00A72650"/>
    <w:rPr>
      <w:sz w:val="16"/>
      <w:szCs w:val="16"/>
    </w:rPr>
  </w:style>
  <w:style w:type="paragraph" w:styleId="ab">
    <w:name w:val="annotation text"/>
    <w:basedOn w:val="a"/>
    <w:link w:val="ac"/>
    <w:uiPriority w:val="99"/>
    <w:semiHidden/>
    <w:unhideWhenUsed/>
    <w:rsid w:val="00A72650"/>
    <w:pPr>
      <w:spacing w:line="240" w:lineRule="auto"/>
    </w:pPr>
    <w:rPr>
      <w:sz w:val="20"/>
      <w:szCs w:val="20"/>
    </w:rPr>
  </w:style>
  <w:style w:type="character" w:customStyle="1" w:styleId="ac">
    <w:name w:val="Текст примечания Знак"/>
    <w:basedOn w:val="a0"/>
    <w:link w:val="ab"/>
    <w:uiPriority w:val="99"/>
    <w:semiHidden/>
    <w:rsid w:val="00A72650"/>
    <w:rPr>
      <w:rFonts w:ascii="Times New Roman" w:hAnsi="Times New Roman"/>
      <w:sz w:val="20"/>
      <w:szCs w:val="20"/>
    </w:rPr>
  </w:style>
  <w:style w:type="paragraph" w:styleId="ad">
    <w:name w:val="annotation subject"/>
    <w:basedOn w:val="ab"/>
    <w:next w:val="ab"/>
    <w:link w:val="ae"/>
    <w:uiPriority w:val="99"/>
    <w:semiHidden/>
    <w:unhideWhenUsed/>
    <w:rsid w:val="00A72650"/>
    <w:rPr>
      <w:b/>
      <w:bCs/>
    </w:rPr>
  </w:style>
  <w:style w:type="character" w:customStyle="1" w:styleId="ae">
    <w:name w:val="Тема примечания Знак"/>
    <w:basedOn w:val="ac"/>
    <w:link w:val="ad"/>
    <w:uiPriority w:val="99"/>
    <w:semiHidden/>
    <w:rsid w:val="00A72650"/>
    <w:rPr>
      <w:rFonts w:ascii="Times New Roman" w:hAnsi="Times New Roman"/>
      <w:b/>
      <w:bCs/>
      <w:sz w:val="20"/>
      <w:szCs w:val="20"/>
    </w:rPr>
  </w:style>
  <w:style w:type="paragraph" w:styleId="af">
    <w:name w:val="List Paragraph"/>
    <w:basedOn w:val="a"/>
    <w:uiPriority w:val="34"/>
    <w:qFormat/>
    <w:rsid w:val="00163EAE"/>
    <w:pPr>
      <w:ind w:left="720"/>
      <w:contextualSpacing/>
    </w:pPr>
  </w:style>
  <w:style w:type="paragraph" w:styleId="af0">
    <w:name w:val="footnote text"/>
    <w:basedOn w:val="a"/>
    <w:link w:val="af1"/>
    <w:uiPriority w:val="99"/>
    <w:semiHidden/>
    <w:unhideWhenUsed/>
    <w:rsid w:val="00040A60"/>
    <w:pPr>
      <w:spacing w:line="240" w:lineRule="auto"/>
    </w:pPr>
    <w:rPr>
      <w:sz w:val="20"/>
      <w:szCs w:val="20"/>
    </w:rPr>
  </w:style>
  <w:style w:type="character" w:customStyle="1" w:styleId="af1">
    <w:name w:val="Текст сноски Знак"/>
    <w:basedOn w:val="a0"/>
    <w:link w:val="af0"/>
    <w:uiPriority w:val="99"/>
    <w:semiHidden/>
    <w:rsid w:val="00040A60"/>
    <w:rPr>
      <w:rFonts w:ascii="Times New Roman" w:hAnsi="Times New Roman"/>
      <w:sz w:val="20"/>
      <w:szCs w:val="20"/>
    </w:rPr>
  </w:style>
  <w:style w:type="character" w:styleId="af2">
    <w:name w:val="footnote reference"/>
    <w:basedOn w:val="a0"/>
    <w:uiPriority w:val="99"/>
    <w:semiHidden/>
    <w:unhideWhenUsed/>
    <w:rsid w:val="00040A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89"/>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02C"/>
    <w:pPr>
      <w:tabs>
        <w:tab w:val="center" w:pos="4677"/>
        <w:tab w:val="right" w:pos="9355"/>
      </w:tabs>
      <w:spacing w:line="240" w:lineRule="auto"/>
    </w:pPr>
  </w:style>
  <w:style w:type="character" w:customStyle="1" w:styleId="a4">
    <w:name w:val="Верхний колонтитул Знак"/>
    <w:basedOn w:val="a0"/>
    <w:link w:val="a3"/>
    <w:uiPriority w:val="99"/>
    <w:rsid w:val="00A5702C"/>
    <w:rPr>
      <w:rFonts w:ascii="Times New Roman" w:hAnsi="Times New Roman"/>
      <w:sz w:val="24"/>
    </w:rPr>
  </w:style>
  <w:style w:type="paragraph" w:styleId="a5">
    <w:name w:val="footer"/>
    <w:basedOn w:val="a"/>
    <w:link w:val="a6"/>
    <w:uiPriority w:val="99"/>
    <w:unhideWhenUsed/>
    <w:rsid w:val="00A5702C"/>
    <w:pPr>
      <w:tabs>
        <w:tab w:val="center" w:pos="4677"/>
        <w:tab w:val="right" w:pos="9355"/>
      </w:tabs>
      <w:spacing w:line="240" w:lineRule="auto"/>
    </w:pPr>
  </w:style>
  <w:style w:type="character" w:customStyle="1" w:styleId="a6">
    <w:name w:val="Нижний колонтитул Знак"/>
    <w:basedOn w:val="a0"/>
    <w:link w:val="a5"/>
    <w:uiPriority w:val="99"/>
    <w:rsid w:val="00A5702C"/>
    <w:rPr>
      <w:rFonts w:ascii="Times New Roman" w:hAnsi="Times New Roman"/>
      <w:sz w:val="24"/>
    </w:rPr>
  </w:style>
  <w:style w:type="character" w:styleId="a7">
    <w:name w:val="Hyperlink"/>
    <w:uiPriority w:val="99"/>
    <w:rsid w:val="00A5702C"/>
    <w:rPr>
      <w:rFonts w:cs="Times New Roman"/>
      <w:color w:val="0000FF"/>
      <w:u w:val="single"/>
      <w:lang w:val="en-GB" w:eastAsia="en-GB"/>
    </w:rPr>
  </w:style>
  <w:style w:type="paragraph" w:styleId="a8">
    <w:name w:val="Balloon Text"/>
    <w:basedOn w:val="a"/>
    <w:link w:val="a9"/>
    <w:uiPriority w:val="99"/>
    <w:semiHidden/>
    <w:unhideWhenUsed/>
    <w:rsid w:val="00463E8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3E85"/>
    <w:rPr>
      <w:rFonts w:ascii="Tahoma" w:hAnsi="Tahoma" w:cs="Tahoma"/>
      <w:sz w:val="16"/>
      <w:szCs w:val="16"/>
    </w:rPr>
  </w:style>
  <w:style w:type="character" w:styleId="aa">
    <w:name w:val="annotation reference"/>
    <w:basedOn w:val="a0"/>
    <w:uiPriority w:val="99"/>
    <w:semiHidden/>
    <w:unhideWhenUsed/>
    <w:rsid w:val="00A72650"/>
    <w:rPr>
      <w:sz w:val="16"/>
      <w:szCs w:val="16"/>
    </w:rPr>
  </w:style>
  <w:style w:type="paragraph" w:styleId="ab">
    <w:name w:val="annotation text"/>
    <w:basedOn w:val="a"/>
    <w:link w:val="ac"/>
    <w:uiPriority w:val="99"/>
    <w:semiHidden/>
    <w:unhideWhenUsed/>
    <w:rsid w:val="00A72650"/>
    <w:pPr>
      <w:spacing w:line="240" w:lineRule="auto"/>
    </w:pPr>
    <w:rPr>
      <w:sz w:val="20"/>
      <w:szCs w:val="20"/>
    </w:rPr>
  </w:style>
  <w:style w:type="character" w:customStyle="1" w:styleId="ac">
    <w:name w:val="Текст примечания Знак"/>
    <w:basedOn w:val="a0"/>
    <w:link w:val="ab"/>
    <w:uiPriority w:val="99"/>
    <w:semiHidden/>
    <w:rsid w:val="00A72650"/>
    <w:rPr>
      <w:rFonts w:ascii="Times New Roman" w:hAnsi="Times New Roman"/>
      <w:sz w:val="20"/>
      <w:szCs w:val="20"/>
    </w:rPr>
  </w:style>
  <w:style w:type="paragraph" w:styleId="ad">
    <w:name w:val="annotation subject"/>
    <w:basedOn w:val="ab"/>
    <w:next w:val="ab"/>
    <w:link w:val="ae"/>
    <w:uiPriority w:val="99"/>
    <w:semiHidden/>
    <w:unhideWhenUsed/>
    <w:rsid w:val="00A72650"/>
    <w:rPr>
      <w:b/>
      <w:bCs/>
    </w:rPr>
  </w:style>
  <w:style w:type="character" w:customStyle="1" w:styleId="ae">
    <w:name w:val="Тема примечания Знак"/>
    <w:basedOn w:val="ac"/>
    <w:link w:val="ad"/>
    <w:uiPriority w:val="99"/>
    <w:semiHidden/>
    <w:rsid w:val="00A72650"/>
    <w:rPr>
      <w:rFonts w:ascii="Times New Roman" w:hAnsi="Times New Roman"/>
      <w:b/>
      <w:bCs/>
      <w:sz w:val="20"/>
      <w:szCs w:val="20"/>
    </w:rPr>
  </w:style>
  <w:style w:type="paragraph" w:styleId="af">
    <w:name w:val="List Paragraph"/>
    <w:basedOn w:val="a"/>
    <w:uiPriority w:val="34"/>
    <w:qFormat/>
    <w:rsid w:val="00163EAE"/>
    <w:pPr>
      <w:ind w:left="720"/>
      <w:contextualSpacing/>
    </w:pPr>
  </w:style>
  <w:style w:type="paragraph" w:styleId="af0">
    <w:name w:val="footnote text"/>
    <w:basedOn w:val="a"/>
    <w:link w:val="af1"/>
    <w:uiPriority w:val="99"/>
    <w:semiHidden/>
    <w:unhideWhenUsed/>
    <w:rsid w:val="00040A60"/>
    <w:pPr>
      <w:spacing w:line="240" w:lineRule="auto"/>
    </w:pPr>
    <w:rPr>
      <w:sz w:val="20"/>
      <w:szCs w:val="20"/>
    </w:rPr>
  </w:style>
  <w:style w:type="character" w:customStyle="1" w:styleId="af1">
    <w:name w:val="Текст сноски Знак"/>
    <w:basedOn w:val="a0"/>
    <w:link w:val="af0"/>
    <w:uiPriority w:val="99"/>
    <w:semiHidden/>
    <w:rsid w:val="00040A60"/>
    <w:rPr>
      <w:rFonts w:ascii="Times New Roman" w:hAnsi="Times New Roman"/>
      <w:sz w:val="20"/>
      <w:szCs w:val="20"/>
    </w:rPr>
  </w:style>
  <w:style w:type="character" w:styleId="af2">
    <w:name w:val="footnote reference"/>
    <w:basedOn w:val="a0"/>
    <w:uiPriority w:val="99"/>
    <w:semiHidden/>
    <w:unhideWhenUsed/>
    <w:rsid w:val="00040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fac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fac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lga.olyunina@cofac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2AD3-994E-4144-954F-5956E451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COFACE</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OSTROV Pavel</dc:creator>
  <cp:lastModifiedBy>OSTROV Pavel</cp:lastModifiedBy>
  <cp:revision>60</cp:revision>
  <cp:lastPrinted>2016-07-06T12:00:00Z</cp:lastPrinted>
  <dcterms:created xsi:type="dcterms:W3CDTF">2016-07-01T13:18:00Z</dcterms:created>
  <dcterms:modified xsi:type="dcterms:W3CDTF">2016-07-06T14:56:00Z</dcterms:modified>
</cp:coreProperties>
</file>